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9: The Term Structure of Interest Rates: Spot, Par, and Forward Curves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X3cbb33502330ec59f515e166105da68592ff83a"/>
    <w:p>
      <w:pPr>
        <w:pStyle w:val="Heading3"/>
      </w:pPr>
      <w:r>
        <w:t xml:space="preserve">Calculating a Bond Price given the sequence of Spot Rates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t>F</m:t>
              </m:r>
              <m:r>
                <m:t>V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Z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 the spot rate, or zero-coupon yield or zero rate, for period 1</w:t>
      </w:r>
      <w:r>
        <w:br/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Z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 the spot rate, or zero-coupon yield or zero rate, for period 2</w:t>
      </w:r>
      <w:r>
        <w:br/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Z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is the spot rate, or zero-coupon yield or zero rate, for period</w:t>
      </w:r>
      <w:r>
        <w:t xml:space="preserve"> </w:t>
      </w:r>
      <m:oMath>
        <m:r>
          <m:t>N</m:t>
        </m:r>
      </m:oMath>
    </w:p>
    <w:p>
      <w:r>
        <w:pict>
          <v:rect style="width:0;height:1.5pt" o:hralign="center" o:hrstd="t" o:hr="t"/>
        </w:pict>
      </w:r>
    </w:p>
    <w:bookmarkEnd w:id="20"/>
    <w:bookmarkStart w:id="21" w:name="calculate-a-par-rate-by-solving-for-pmt"/>
    <w:p>
      <w:pPr>
        <w:pStyle w:val="Heading3"/>
      </w:pPr>
      <w:r>
        <w:t xml:space="preserve">Calculate a Par Rate by solving for PMT</w:t>
      </w:r>
    </w:p>
    <w:p>
      <w:pPr>
        <w:pStyle w:val="FirstParagraph"/>
      </w:pPr>
      <m:oMathPara>
        <m:oMathParaPr>
          <m:jc m:val="center"/>
        </m:oMathParaPr>
        <m:oMath>
          <m:r>
            <m:t>100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t>100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Compact"/>
        <w:numPr>
          <w:ilvl w:val="0"/>
          <w:numId w:val="1002"/>
        </w:numPr>
      </w:pPr>
      <w:r>
        <w:t xml:space="preserve">Equation 2 can be used to calculate a par rate by solving for</w:t>
      </w:r>
      <w:r>
        <w:t xml:space="preserve"> </w:t>
      </w:r>
      <m:oMath>
        <m:r>
          <m:t>P</m:t>
        </m:r>
        <m:r>
          <m:t>M</m:t>
        </m:r>
        <m:r>
          <m:t>T</m:t>
        </m:r>
      </m:oMath>
      <w:r>
        <w:t xml:space="preserve"> </w:t>
      </w:r>
      <w:r>
        <w:t xml:space="preserve">given a</w:t>
      </w:r>
      <w:r>
        <w:t xml:space="preserve"> </w:t>
      </w:r>
      <w:r>
        <w:t xml:space="preserve">sequence of spot rates</w:t>
      </w:r>
      <w:r>
        <w:t xml:space="preserve"> </w:t>
      </w:r>
      <m:oMath>
        <m:sSub>
          <m:e>
            <m:r>
              <m:t>Z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n</m:t>
            </m:r>
          </m:sub>
        </m:sSub>
      </m:oMath>
      <w:r>
        <w:t xml:space="preserve">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This equation is very similar to Equation 1, except</w:t>
      </w:r>
      <w:r>
        <w:t xml:space="preserve"> </w:t>
      </w:r>
      <m:oMath>
        <m:r>
          <m:t>P</m:t>
        </m:r>
        <m:r>
          <m:t>V</m:t>
        </m:r>
        <m:r>
          <m:rPr>
            <m:sty m:val="p"/>
          </m:rPr>
          <m:t>=</m:t>
        </m:r>
        <m:r>
          <m:t>F</m:t>
        </m:r>
        <m:r>
          <m:t>V</m:t>
        </m:r>
        <m:r>
          <m:rPr>
            <m:sty m:val="p"/>
          </m:rPr>
          <m:t>=</m:t>
        </m:r>
        <m:r>
          <m:t>100</m:t>
        </m:r>
      </m:oMath>
      <w:r>
        <w:t xml:space="preserve">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Recall that for a bond to trade at par, its coupon rate and yield-to-maturity</w:t>
      </w:r>
      <w:r>
        <w:t xml:space="preserve"> </w:t>
      </w:r>
      <w:r>
        <w:t xml:space="preserve">must be equal. So, by solving for</w:t>
      </w:r>
      <w:r>
        <w:t xml:space="preserve"> </w:t>
      </w:r>
      <m:oMath>
        <m:r>
          <m:t>P</m:t>
        </m:r>
        <m:r>
          <m:t>M</m:t>
        </m:r>
        <m:r>
          <m:t>T</m:t>
        </m:r>
      </m:oMath>
      <w:r>
        <w:t xml:space="preserve">, we also solve for the</w:t>
      </w:r>
      <w:r>
        <w:t xml:space="preserve"> </w:t>
      </w:r>
      <w:r>
        <w:t xml:space="preserve">yield-to-maturity for the bond to trade at par.</w:t>
      </w:r>
    </w:p>
    <w:p>
      <w:r>
        <w:pict>
          <v:rect style="width:0;height:1.5pt" o:hralign="center" o:hrstd="t" o:hr="t"/>
        </w:pict>
      </w:r>
    </w:p>
    <w:bookmarkEnd w:id="21"/>
    <w:bookmarkStart w:id="22" w:name="X87e59e9ff389ae31d5e59b3012fb00485841398"/>
    <w:p>
      <w:pPr>
        <w:pStyle w:val="Heading3"/>
      </w:pPr>
      <w:r>
        <w:t xml:space="preserve">General formula for the Implied Forward Rate,</w:t>
      </w:r>
      <w:r>
        <w:t xml:space="preserve"> </w:t>
      </w:r>
      <m:oMath>
        <m:r>
          <m:t>I</m:t>
        </m:r>
        <m:r>
          <m:t>F</m:t>
        </m:r>
        <m:sSub>
          <m:e>
            <m:r>
              <m:t>R</m:t>
            </m:r>
          </m:e>
          <m:sub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  <m:r>
              <m:rPr>
                <m:sty m:val="p"/>
              </m:rPr>
              <m:t>−</m:t>
            </m:r>
            <m:r>
              <m:t>A</m:t>
            </m:r>
          </m:sub>
        </m:sSub>
      </m:oMath>
    </w:p>
    <w:p>
      <w:pPr>
        <w:pStyle w:val="FirstParagraph"/>
      </w:pPr>
      <m:oMathPara>
        <m:oMathParaPr>
          <m:jc m:val="center"/>
        </m:oMathParaPr>
        <m:oMath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Z</m:t>
                      </m:r>
                    </m:e>
                    <m:sub>
                      <m:r>
                        <m:t>A</m:t>
                      </m:r>
                    </m:sub>
                  </m:sSub>
                </m:e>
              </m:d>
            </m:e>
            <m:sup>
              <m:r>
                <m:t>A</m:t>
              </m:r>
            </m:sup>
          </m:sSup>
          <m:r>
            <m:rPr>
              <m:sty m:val="p"/>
            </m:rPr>
            <m:t>×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>
                    <m:t>F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A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B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A</m:t>
                      </m:r>
                    </m:sub>
                  </m:sSub>
                </m:e>
              </m:d>
            </m:e>
            <m:sup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Z</m:t>
                      </m:r>
                    </m:e>
                    <m:sub>
                      <m:r>
                        <m:t>B</m:t>
                      </m:r>
                    </m:sub>
                  </m:sSub>
                </m:e>
              </m:d>
            </m:e>
            <m:sup>
              <m:r>
                <m:t>B</m:t>
              </m:r>
            </m:sup>
          </m:sSup>
        </m:oMath>
      </m:oMathPara>
    </w:p>
    <w:p>
      <w:pPr>
        <w:pStyle w:val="Compact"/>
        <w:numPr>
          <w:ilvl w:val="0"/>
          <w:numId w:val="1003"/>
        </w:numPr>
      </w:pPr>
      <w:r>
        <w:t xml:space="preserve">Equation 3 is a general formula for the implied forward rate,</w:t>
      </w:r>
      <w:r>
        <w:t xml:space="preserve"> </w:t>
      </w:r>
      <m:oMath>
        <m:r>
          <m:t>I</m:t>
        </m:r>
        <m:r>
          <m:t>F</m:t>
        </m:r>
        <m:sSub>
          <m:e>
            <m:r>
              <m:t>R</m:t>
            </m:r>
          </m:e>
          <m:sub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  <m:r>
              <m:rPr>
                <m:sty m:val="p"/>
              </m:rPr>
              <m:t>−</m:t>
            </m:r>
            <m:r>
              <m:t>A</m:t>
            </m:r>
          </m:sub>
        </m:sSub>
      </m:oMath>
      <w:r>
        <w:t xml:space="preserve">,</w:t>
      </w:r>
      <w:r>
        <w:t xml:space="preserve"> </w:t>
      </w:r>
      <w:r>
        <w:t xml:space="preserve">for a security begins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and matures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B</m:t>
        </m:r>
      </m:oMath>
      <w:r>
        <w:t xml:space="preserve"> </w:t>
      </w:r>
      <w:r>
        <w:t xml:space="preserve">(tenor</w:t>
      </w:r>
      <w:r>
        <w:t xml:space="preserve"> </w:t>
      </w:r>
      <m:oMath>
        <m:r>
          <m:t>B</m:t>
        </m:r>
        <m:r>
          <m:rPr>
            <m:sty m:val="p"/>
          </m:rPr>
          <m:t>−</m:t>
        </m:r>
        <m:r>
          <m:t>A</m:t>
        </m:r>
      </m:oMath>
      <w:r>
        <w:t xml:space="preserve">)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To solve for it, we need the spot rate,</w:t>
      </w:r>
      <w:r>
        <w:t xml:space="preserve"> </w:t>
      </w:r>
      <m:oMath>
        <m:sSub>
          <m:e>
            <m:r>
              <m:t>z</m:t>
            </m:r>
          </m:e>
          <m:sub>
            <m:r>
              <m:t>A</m:t>
            </m:r>
          </m:sub>
        </m:sSub>
      </m:oMath>
      <w:r>
        <w:t xml:space="preserve">, and the longer-term spot rate,</w:t>
      </w:r>
      <w:r>
        <w:t xml:space="preserve"> </w:t>
      </w:r>
      <m:oMath>
        <m:sSub>
          <m:e>
            <m:r>
              <m:t>z</m:t>
            </m:r>
          </m:e>
          <m:sub>
            <m:r>
              <m:t>B</m:t>
            </m:r>
          </m:sub>
        </m:sSub>
      </m:oMath>
    </w:p>
    <w:p>
      <w:r>
        <w:pict>
          <v:rect style="width:0;height:1.5pt" o:hralign="center" o:hrstd="t" o:hr="t"/>
        </w:pic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9: The Term Structure of Interest Rates: Spot, Par, and Forward Curves</dc:title>
  <dc:creator/>
  <cp:keywords/>
  <dcterms:created xsi:type="dcterms:W3CDTF">2026-03-12T21:50:02Z</dcterms:created>
  <dcterms:modified xsi:type="dcterms:W3CDTF">2026-03-12T21:50:02Z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