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8: Yield and Yield Spread Measures for Floating-Rate Instruments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floating-rate-notes-frn-pricing-model"/>
    <w:p>
      <w:pPr>
        <w:pStyle w:val="Heading3"/>
      </w:pPr>
      <w:r>
        <w:t xml:space="preserve">Floating-Rate Notes (FRN) Pricing Model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t> </m:t>
          </m:r>
          <m:r>
            <m:rPr>
              <m:sty m:val="p"/>
            </m:rPr>
            <m:t>=</m:t>
          </m:r>
          <m:r>
            <m:t> 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M</m:t>
                      </m:r>
                      <m:r>
                        <m:t>R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Q</m:t>
                      </m:r>
                      <m:r>
                        <m:t>M</m:t>
                      </m:r>
                    </m:e>
                  </m:d>
                  <m:r>
                    <m:rPr>
                      <m:sty m:val="p"/>
                    </m:rPr>
                    <m:t>×</m:t>
                  </m:r>
                  <m:r>
                    <m:t>F</m:t>
                  </m:r>
                  <m:r>
                    <m:t>V</m:t>
                  </m:r>
                </m:num>
                <m:den>
                  <m:r>
                    <m:t>m</m:t>
                  </m:r>
                </m:den>
              </m:f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M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D</m:t>
                          </m:r>
                          <m:r>
                            <m:t>M</m:t>
                          </m:r>
                        </m:num>
                        <m:den>
                          <m: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m:t>1</m:t>
                  </m:r>
                </m:sup>
              </m:sSup>
            </m:den>
          </m:f>
          <m:r>
            <m:t> </m:t>
          </m:r>
          <m:r>
            <m:rPr>
              <m:sty m:val="p"/>
            </m:rPr>
            <m:t>+</m:t>
          </m:r>
          <m:r>
            <m:t> 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M</m:t>
                      </m:r>
                      <m:r>
                        <m:t>R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Q</m:t>
                      </m:r>
                      <m:r>
                        <m:t>M</m:t>
                      </m:r>
                    </m:e>
                  </m:d>
                  <m:r>
                    <m:rPr>
                      <m:sty m:val="p"/>
                    </m:rPr>
                    <m:t>×</m:t>
                  </m:r>
                  <m:r>
                    <m:t>F</m:t>
                  </m:r>
                  <m:r>
                    <m:t>V</m:t>
                  </m:r>
                </m:num>
                <m:den>
                  <m:r>
                    <m:t>m</m:t>
                  </m:r>
                </m:den>
              </m:f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M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D</m:t>
                          </m:r>
                          <m:r>
                            <m:t>M</m:t>
                          </m:r>
                        </m:num>
                        <m:den>
                          <m: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den>
          </m:f>
          <m:r>
            <m:t> </m:t>
          </m:r>
          <m:r>
            <m:rPr>
              <m:sty m:val="p"/>
            </m:rPr>
            <m:t>+</m:t>
          </m:r>
          <m:r>
            <m:t> </m:t>
          </m:r>
          <m:r>
            <m:rPr>
              <m:sty m:val="p"/>
            </m:rPr>
            <m:t>…</m:t>
          </m:r>
          <m:r>
            <m:t> </m:t>
          </m:r>
          <m:r>
            <m:rPr>
              <m:sty m:val="p"/>
            </m:rPr>
            <m:t>+</m:t>
          </m:r>
          <m:r>
            <m:t> 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M</m:t>
                      </m:r>
                      <m:r>
                        <m:t>R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Q</m:t>
                      </m:r>
                      <m:r>
                        <m:t>M</m:t>
                      </m:r>
                    </m:e>
                  </m:d>
                  <m:r>
                    <m:rPr>
                      <m:sty m:val="p"/>
                    </m:rPr>
                    <m:t>×</m:t>
                  </m:r>
                  <m:r>
                    <m:t>F</m:t>
                  </m:r>
                  <m:r>
                    <m:t>V</m:t>
                  </m:r>
                </m:num>
                <m:den>
                  <m:r>
                    <m:t>m</m:t>
                  </m:r>
                </m:den>
              </m:f>
              <m:r>
                <m:rPr>
                  <m:sty m:val="p"/>
                </m:rPr>
                <m:t>+</m:t>
              </m:r>
              <m:r>
                <m:t>F</m:t>
              </m:r>
              <m:r>
                <m:t>V</m:t>
              </m:r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M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D</m:t>
                          </m:r>
                          <m:r>
                            <m:t>M</m:t>
                          </m:r>
                        </m:num>
                        <m:den>
                          <m: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m:t>N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P</m:t>
        </m:r>
        <m:r>
          <m:t>V</m:t>
        </m:r>
      </m:oMath>
      <w:r>
        <w:t xml:space="preserve"> </w:t>
      </w:r>
      <w:r>
        <w:t xml:space="preserve">= present value, or the price of the floating-rate note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M</m:t>
        </m:r>
        <m:r>
          <m:t>R</m:t>
        </m:r>
        <m:r>
          <m:t>R</m:t>
        </m:r>
      </m:oMath>
      <w:r>
        <w:t xml:space="preserve"> </w:t>
      </w:r>
      <w:r>
        <w:t xml:space="preserve">= the market reference rate, stated as an annual percentage rate (it</w:t>
      </w:r>
      <w:r>
        <w:t xml:space="preserve"> </w:t>
      </w:r>
      <w:r>
        <w:t xml:space="preserve">is sometimes known generically as Index)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Q</m:t>
        </m:r>
        <m:r>
          <m:t>M</m:t>
        </m:r>
      </m:oMath>
      <w:r>
        <w:t xml:space="preserve"> </w:t>
      </w:r>
      <w:r>
        <w:t xml:space="preserve">= the quoted margin, stated as an annual percentage rate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F</m:t>
        </m:r>
        <m:r>
          <m:t>V</m:t>
        </m:r>
      </m:oMath>
      <w:r>
        <w:t xml:space="preserve"> </w:t>
      </w:r>
      <w:r>
        <w:t xml:space="preserve">= the future value paid at maturity, or the par value of the bond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m</m:t>
        </m:r>
      </m:oMath>
      <w:r>
        <w:t xml:space="preserve"> </w:t>
      </w:r>
      <w:r>
        <w:t xml:space="preserve">= the periodicity of the floating-rate note, the number of payment</w:t>
      </w:r>
      <w:r>
        <w:t xml:space="preserve"> </w:t>
      </w:r>
      <w:r>
        <w:t xml:space="preserve">periodsper year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D</m:t>
        </m:r>
        <m:r>
          <m:t>M</m:t>
        </m:r>
      </m:oMath>
      <w:r>
        <w:t xml:space="preserve"> </w:t>
      </w:r>
      <w:r>
        <w:t xml:space="preserve">= the discount margin = required margin stated as an annual percentage</w:t>
      </w:r>
      <w:r>
        <w:t xml:space="preserve"> </w:t>
      </w:r>
      <w:r>
        <w:t xml:space="preserve">rate</w:t>
      </w:r>
      <w:r>
        <w:br/>
      </w:r>
    </w:p>
    <w:p>
      <w:pPr>
        <w:pStyle w:val="Compact"/>
        <w:numPr>
          <w:ilvl w:val="0"/>
          <w:numId w:val="1001"/>
        </w:numPr>
      </w:pPr>
      <m:oMath>
        <m:r>
          <m:t>N</m:t>
        </m:r>
      </m:oMath>
      <w:r>
        <w:t xml:space="preserve"> </w:t>
      </w:r>
      <w:r>
        <w:t xml:space="preserve">= the number of evenly spaced periods to maturity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Notice that in Equation 1, because we are using annual rates for MRR, QM,</w:t>
      </w:r>
      <w:r>
        <w:t xml:space="preserve"> </w:t>
      </w:r>
      <w:r>
        <w:t xml:space="preserve">and DM, we must divide by m periods in the year</w:t>
      </w:r>
    </w:p>
    <w:p>
      <w:r>
        <w:pict>
          <v:rect style="width:0;height:1.5pt" o:hralign="center" o:hrstd="t" o:hr="t"/>
        </w:pict>
      </w:r>
    </w:p>
    <w:bookmarkEnd w:id="20"/>
    <w:bookmarkStart w:id="21" w:name="X93605ddf1c07ecff005880c8f9d6d46a44d9564"/>
    <w:p>
      <w:pPr>
        <w:pStyle w:val="Heading3"/>
      </w:pPr>
      <w:r>
        <w:t xml:space="preserve">Pricing formula for money market instruments quoted on a discount rate basis.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r>
            <m:t>F</m:t>
          </m:r>
          <m:r>
            <m:t>V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D</m:t>
                  </m:r>
                  <m:r>
                    <m:t>a</m:t>
                  </m:r>
                  <m:r>
                    <m:t>y</m:t>
                  </m:r>
                  <m:r>
                    <m:t>s</m:t>
                  </m:r>
                </m:num>
                <m:den>
                  <m:r>
                    <m:t>Y</m:t>
                  </m:r>
                  <m:r>
                    <m:t>e</m:t>
                  </m:r>
                  <m:r>
                    <m:t>a</m:t>
                  </m:r>
                  <m:r>
                    <m:t>r</m:t>
                  </m:r>
                </m:den>
              </m:f>
              <m:r>
                <m:rPr>
                  <m:sty m:val="p"/>
                </m:rPr>
                <m:t>×</m:t>
              </m:r>
              <m:r>
                <m:t>D</m:t>
              </m:r>
              <m:r>
                <m:t>R</m:t>
              </m:r>
            </m:e>
          </m:d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m:oMath>
        <m:r>
          <m:t>P</m:t>
        </m:r>
        <m:r>
          <m:t>V</m:t>
        </m:r>
      </m:oMath>
      <w:r>
        <w:t xml:space="preserve"> </w:t>
      </w:r>
      <w:r>
        <w:t xml:space="preserve">= present value, or the price of the money market instrument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F</m:t>
        </m:r>
        <m:r>
          <m:t>V</m:t>
        </m:r>
      </m:oMath>
      <w:r>
        <w:t xml:space="preserve"> </w:t>
      </w:r>
      <w:r>
        <w:t xml:space="preserve">= the future value paid at maturity, or the face value of the money</w:t>
      </w:r>
      <w:r>
        <w:t xml:space="preserve"> </w:t>
      </w:r>
      <w:r>
        <w:t xml:space="preserve">market instrument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D</m:t>
        </m:r>
        <m:r>
          <m:t>a</m:t>
        </m:r>
        <m:r>
          <m:t>y</m:t>
        </m:r>
        <m:r>
          <m:t>s</m:t>
        </m:r>
      </m:oMath>
      <w:r>
        <w:t xml:space="preserve"> </w:t>
      </w:r>
      <w:r>
        <w:t xml:space="preserve">= the number of days between settlement and maturity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Y</m:t>
        </m:r>
        <m:r>
          <m:t>e</m:t>
        </m:r>
        <m:r>
          <m:t>a</m:t>
        </m:r>
        <m:r>
          <m:t>r</m:t>
        </m:r>
      </m:oMath>
      <w:r>
        <w:t xml:space="preserve"> </w:t>
      </w:r>
      <w:r>
        <w:t xml:space="preserve">= the number of days in the year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D</m:t>
        </m:r>
        <m:r>
          <m:t>R</m:t>
        </m:r>
      </m:oMath>
      <w:r>
        <w:t xml:space="preserve"> </w:t>
      </w:r>
      <w:r>
        <w:t xml:space="preserve">= the discount rate, stated as an annual percentage rate</w:t>
      </w:r>
    </w:p>
    <w:p>
      <w:r>
        <w:pict>
          <v:rect style="width:0;height:1.5pt" o:hralign="center" o:hrstd="t" o:hr="t"/>
        </w:pict>
      </w:r>
    </w:p>
    <w:bookmarkEnd w:id="21"/>
    <w:bookmarkStart w:id="22" w:name="Xab0ae1608655ec1fc9f7dd18324e8bb3017e38d"/>
    <w:p>
      <w:pPr>
        <w:pStyle w:val="Heading3"/>
      </w:pPr>
      <w:r>
        <w:t xml:space="preserve">Transforming Equation 2 algebraically to isolate the DR term</w:t>
      </w:r>
    </w:p>
    <w:p>
      <w:pPr>
        <w:pStyle w:val="FirstParagraph"/>
      </w:pPr>
      <m:oMathPara>
        <m:oMathParaPr>
          <m:jc m:val="center"/>
        </m:oMathParaPr>
        <m:oMath>
          <m:r>
            <m:t>D</m:t>
          </m:r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num>
            <m:den>
              <m:r>
                <m:t>D</m:t>
              </m:r>
              <m:r>
                <m:t>a</m:t>
              </m:r>
              <m:r>
                <m:t>y</m:t>
              </m:r>
              <m:r>
                <m:t>s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F</m:t>
                  </m:r>
                  <m:r>
                    <m:t>V</m:t>
                  </m:r>
                  <m:r>
                    <m:rPr>
                      <m:sty m:val="p"/>
                    </m:rPr>
                    <m:t>−</m:t>
                  </m:r>
                  <m:r>
                    <m:t>P</m:t>
                  </m:r>
                  <m:r>
                    <m:t>V</m:t>
                  </m:r>
                </m:e>
              </m:d>
            </m:num>
            <m:den>
              <m:r>
                <m:t>F</m:t>
              </m:r>
              <m:r>
                <m:t>V</m:t>
              </m:r>
            </m:den>
          </m:f>
        </m:oMath>
      </m:oMathPara>
    </w:p>
    <w:p>
      <w:pPr>
        <w:pStyle w:val="Compact"/>
        <w:numPr>
          <w:ilvl w:val="0"/>
          <w:numId w:val="1003"/>
        </w:numPr>
      </w:pPr>
      <w:r>
        <w:t xml:space="preserve">The unique characteristics of a money market discount rate can be examined</w:t>
      </w:r>
      <w:r>
        <w:t xml:space="preserve"> </w:t>
      </w:r>
      <w:r>
        <w:t xml:space="preserve">with Equation 3, which transforms Equation 2 algebraically to isolate the</w:t>
      </w:r>
      <w:r>
        <w:t xml:space="preserve"> </w:t>
      </w:r>
      <m:oMath>
        <m:r>
          <m:t>D</m:t>
        </m:r>
        <m:r>
          <m:t>R</m:t>
        </m:r>
      </m:oMath>
      <w:r>
        <w:t xml:space="preserve"> </w:t>
      </w:r>
      <w:r>
        <w:t xml:space="preserve">term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The first term, Year/Days, is the periodicity of the annual rate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The second term reveals the odd character of a money market discount rate</w:t>
      </w:r>
    </w:p>
    <w:p>
      <w:r>
        <w:pict>
          <v:rect style="width:0;height:1.5pt" o:hralign="center" o:hrstd="t" o:hr="t"/>
        </w:pict>
      </w:r>
    </w:p>
    <w:bookmarkEnd w:id="22"/>
    <w:bookmarkStart w:id="23" w:name="X1c641ccd0a18bec836ce3fb3e0c53f2b9f95287"/>
    <w:p>
      <w:pPr>
        <w:pStyle w:val="Heading3"/>
      </w:pPr>
      <w:r>
        <w:t xml:space="preserve">Pricing formula for money market instruments quoted on an add-on rate basis</w:t>
      </w:r>
    </w:p>
    <w:p>
      <w:pPr>
        <w:pStyle w:val="FirstParagraph"/>
      </w:pPr>
      <m:oMathPara>
        <m:oMathParaPr>
          <m:jc m:val="center"/>
        </m:oMathParaPr>
        <m:oMath>
          <m:r>
            <m:t>P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  <m:r>
                <m:t>V</m:t>
              </m:r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D</m:t>
                      </m:r>
                      <m:r>
                        <m:t>a</m:t>
                      </m:r>
                      <m:r>
                        <m:t>y</m:t>
                      </m:r>
                      <m:r>
                        <m:t>s</m:t>
                      </m:r>
                    </m:num>
                    <m:den>
                      <m:r>
                        <m:t>Y</m:t>
                      </m:r>
                      <m:r>
                        <m:t>e</m:t>
                      </m:r>
                      <m:r>
                        <m:t>a</m:t>
                      </m:r>
                      <m:r>
                        <m:t>r</m:t>
                      </m:r>
                    </m:den>
                  </m:f>
                  <m:r>
                    <m:rPr>
                      <m:sty m:val="p"/>
                    </m:rPr>
                    <m:t>×</m:t>
                  </m:r>
                  <m:r>
                    <m:t>A</m:t>
                  </m:r>
                  <m:r>
                    <m:t>O</m:t>
                  </m:r>
                  <m:r>
                    <m:t>R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P</m:t>
        </m:r>
        <m:r>
          <m:t>V</m:t>
        </m:r>
      </m:oMath>
      <w:r>
        <w:t xml:space="preserve"> </w:t>
      </w:r>
      <w:r>
        <w:t xml:space="preserve">= present value, the principal amount, or the price of the money</w:t>
      </w:r>
      <w:r>
        <w:t xml:space="preserve"> </w:t>
      </w:r>
      <w:r>
        <w:t xml:space="preserve">market instrument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F</m:t>
        </m:r>
        <m:r>
          <m:t>V</m:t>
        </m:r>
      </m:oMath>
      <w:r>
        <w:t xml:space="preserve"> </w:t>
      </w:r>
      <w:r>
        <w:t xml:space="preserve">= the future value, or the redemption amount paid at maturity including</w:t>
      </w:r>
      <w:r>
        <w:t xml:space="preserve"> </w:t>
      </w:r>
      <w:r>
        <w:t xml:space="preserve">interest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D</m:t>
        </m:r>
        <m:r>
          <m:t>a</m:t>
        </m:r>
        <m:r>
          <m:t>y</m:t>
        </m:r>
        <m:r>
          <m:t>s</m:t>
        </m:r>
      </m:oMath>
      <w:r>
        <w:t xml:space="preserve"> </w:t>
      </w:r>
      <w:r>
        <w:t xml:space="preserve">= the number of days between settlement and maturity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Y</m:t>
        </m:r>
        <m:r>
          <m:t>e</m:t>
        </m:r>
        <m:r>
          <m:t>a</m:t>
        </m:r>
        <m:r>
          <m:t>r</m:t>
        </m:r>
      </m:oMath>
      <w:r>
        <w:t xml:space="preserve"> </w:t>
      </w:r>
      <w:r>
        <w:t xml:space="preserve">= the number of days in the year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A</m:t>
        </m:r>
        <m:r>
          <m:t>O</m:t>
        </m:r>
        <m:r>
          <m:t>R</m:t>
        </m:r>
      </m:oMath>
      <w:r>
        <w:t xml:space="preserve"> </w:t>
      </w:r>
      <w:r>
        <w:t xml:space="preserve">= the add-on rate, stated as an annual percentage rate</w:t>
      </w:r>
    </w:p>
    <w:p>
      <w:r>
        <w:pict>
          <v:rect style="width:0;height:1.5pt" o:hralign="center" o:hrstd="t" o:hr="t"/>
        </w:pic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8: Yield and Yield Spread Measures for Floating-Rate Instruments</dc:title>
  <dc:creator/>
  <cp:keywords/>
  <dcterms:created xsi:type="dcterms:W3CDTF">2026-03-12T21:50:01Z</dcterms:created>
  <dcterms:modified xsi:type="dcterms:W3CDTF">2026-03-12T21:50:01Z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