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7: Yield and Yield Spread Measures for Fixed-Rate Bonds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future-value-excel"/>
    <w:p>
      <w:pPr>
        <w:pStyle w:val="Heading3"/>
      </w:pPr>
      <w:r>
        <w:t xml:space="preserve">Future Value Excel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F</m:t>
          </m:r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r>
                <m:t>r</m:t>
              </m:r>
              <m:r>
                <m:t>a</m:t>
              </m:r>
              <m:r>
                <m:t>t</m:t>
              </m:r>
              <m:r>
                <m:t>e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t>p</m:t>
              </m:r>
              <m:r>
                <m:t>e</m:t>
              </m:r>
              <m:r>
                <m:t>r</m:t>
              </m:r>
              <m:r>
                <m:rPr>
                  <m:sty m:val="p"/>
                </m:rPr>
                <m:t>,</m:t>
              </m:r>
              <m:r>
                <m:t>p</m:t>
              </m:r>
              <m:r>
                <m:t>m</m:t>
              </m:r>
              <m:r>
                <m:t>t</m:t>
              </m:r>
              <m:r>
                <m:rPr>
                  <m:sty m:val="p"/>
                </m:rPr>
                <m:t>,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p</m:t>
                  </m:r>
                  <m:r>
                    <m:t>v</m:t>
                  </m:r>
                </m:e>
              </m:d>
              <m:r>
                <m:rPr>
                  <m:sty m:val="p"/>
                </m:rPr>
                <m:t>,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  <m:r>
                    <m:t>y</m:t>
                  </m:r>
                  <m:r>
                    <m:t>p</m:t>
                  </m:r>
                  <m:r>
                    <m:t>e</m:t>
                  </m:r>
                </m:e>
              </m:d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rate</w:t>
      </w:r>
      <w:r>
        <w:t xml:space="preserve"> </w:t>
      </w:r>
      <w:r>
        <w:t xml:space="preserve">is the periodic reinvestment rate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nper</w:t>
      </w:r>
      <w:r>
        <w:t xml:space="preserve"> </w:t>
      </w:r>
      <w:r>
        <w:t xml:space="preserve">is the number of periods in a year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pmt</w:t>
      </w:r>
      <w:r>
        <w:t xml:space="preserve"> </w:t>
      </w:r>
      <w:r>
        <w:t xml:space="preserve">is the rate per period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[</w:t>
      </w:r>
      <w:r>
        <w:rPr>
          <w:i/>
          <w:iCs/>
        </w:rPr>
        <w:t xml:space="preserve">pv</w:t>
      </w:r>
      <w:r>
        <w:t xml:space="preserve">] is the present value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[</w:t>
      </w:r>
      <w:r>
        <w:rPr>
          <w:i/>
          <w:iCs/>
        </w:rPr>
        <w:t xml:space="preserve">type</w:t>
      </w:r>
      <w:r>
        <w:t xml:space="preserve">] indicates when payments occur, with 0 designating payment at the</w:t>
      </w:r>
      <w:r>
        <w:t xml:space="preserve"> </w:t>
      </w:r>
      <w:r>
        <w:t xml:space="preserve">end of each period</w:t>
      </w:r>
    </w:p>
    <w:p>
      <w:r>
        <w:pict>
          <v:rect style="width:0;height:1.5pt" o:hralign="center" o:hrstd="t" o:hr="t"/>
        </w:pict>
      </w:r>
    </w:p>
    <w:bookmarkEnd w:id="20"/>
    <w:bookmarkStart w:id="21" w:name="annual-percentage-rate"/>
    <w:p>
      <w:pPr>
        <w:pStyle w:val="Heading3"/>
      </w:pPr>
      <w:r>
        <w:t xml:space="preserve">Annual Percentage Rate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A</m:t>
                      </m:r>
                      <m:r>
                        <m:t>P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m</m:t>
                          </m:r>
                        </m:sub>
                      </m:sSub>
                    </m:num>
                    <m:den>
                      <m:r>
                        <m:t>m</m:t>
                      </m:r>
                    </m:den>
                  </m:f>
                </m:e>
              </m:d>
            </m:e>
            <m:sup>
              <m:r>
                <m:t>m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A</m:t>
                      </m:r>
                      <m:r>
                        <m:t>P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</m:num>
                    <m:den>
                      <m:r>
                        <m:t>n</m:t>
                      </m:r>
                    </m:den>
                  </m:f>
                </m:e>
              </m:d>
            </m:e>
            <m:sup>
              <m:r>
                <m:t>n</m:t>
              </m:r>
            </m:sup>
          </m:sSup>
        </m:oMath>
      </m:oMathPara>
    </w:p>
    <w:p>
      <w:pPr>
        <w:pStyle w:val="Compact"/>
        <w:numPr>
          <w:ilvl w:val="0"/>
          <w:numId w:val="1002"/>
        </w:numPr>
      </w:pPr>
      <w:r>
        <w:t xml:space="preserve">Equation 1 shows a general formula to convert an annual percentage rate</w:t>
      </w:r>
      <w:r>
        <w:t xml:space="preserve"> </w:t>
      </w:r>
      <w:r>
        <w:t xml:space="preserve">(APR) for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periods per year, denoted</w:t>
      </w:r>
      <w:r>
        <w:t xml:space="preserve"> </w:t>
      </w:r>
      <m:oMath>
        <m:r>
          <m:t>A</m:t>
        </m:r>
        <m:r>
          <m:t>P</m:t>
        </m:r>
        <m:sSub>
          <m:e>
            <m:r>
              <m:t>R</m:t>
            </m:r>
          </m:e>
          <m:sub>
            <m:r>
              <m:t>m</m:t>
            </m:r>
          </m:sub>
        </m:sSub>
      </m:oMath>
      <w:r>
        <w:t xml:space="preserve">, to an annual percentage</w:t>
      </w:r>
      <w:r>
        <w:t xml:space="preserve"> </w:t>
      </w:r>
      <w:r>
        <w:t xml:space="preserve">rate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periods per year,</w:t>
      </w:r>
      <w:r>
        <w:t xml:space="preserve"> </w:t>
      </w:r>
      <m:oMath>
        <m:r>
          <m:t>A</m:t>
        </m:r>
        <m:r>
          <m:t>P</m:t>
        </m:r>
        <m:sSub>
          <m:e>
            <m:r>
              <m:t>R</m:t>
            </m:r>
          </m:e>
          <m:sub>
            <m:r>
              <m:t>n</m:t>
            </m:r>
          </m:sub>
        </m:sSub>
      </m:oMath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r>
          <m:t>A</m:t>
        </m:r>
        <m:r>
          <m:t>P</m:t>
        </m:r>
        <m:r>
          <m:t>R</m:t>
        </m:r>
      </m:oMath>
      <w:r>
        <w:t xml:space="preserve"> </w:t>
      </w:r>
      <w:r>
        <w:t xml:space="preserve">= Annual Percentage Rate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m</m:t>
        </m:r>
      </m:oMath>
      <w:r>
        <w:t xml:space="preserve"> </w:t>
      </w:r>
      <w:r>
        <w:t xml:space="preserve">= periods per year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n</m:t>
        </m:r>
      </m:oMath>
      <w:r>
        <w:t xml:space="preserve"> </w:t>
      </w:r>
      <w:r>
        <w:t xml:space="preserve">= periods per year</w:t>
      </w:r>
    </w:p>
    <w:p>
      <w:r>
        <w:pict>
          <v:rect style="width:0;height:1.5pt" o:hralign="center" o:hrstd="t" o:hr="t"/>
        </w:pict>
      </w:r>
    </w:p>
    <w:bookmarkEnd w:id="21"/>
    <w:bookmarkStart w:id="22" w:name="current-yield"/>
    <w:p>
      <w:pPr>
        <w:pStyle w:val="Heading3"/>
      </w:pPr>
      <w:r>
        <w:t xml:space="preserve">Current Yield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CY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Annual coupon</m:t>
                  </m:r>
                </m:e>
                <m:sub>
                  <m:r>
                    <m:t>t</m:t>
                  </m:r>
                </m:sub>
              </m:sSub>
            </m:num>
            <m:den>
              <m:sSub>
                <m:e>
                  <m:r>
                    <m:rPr>
                      <m:nor/>
                      <m:sty m:val="p"/>
                    </m:rPr>
                    <m:t>Bond price</m:t>
                  </m:r>
                </m:e>
                <m:sub>
                  <m:r>
                    <m:t>t</m:t>
                  </m:r>
                </m:sub>
              </m:sSub>
            </m:den>
          </m:f>
        </m:oMath>
      </m:oMathPara>
    </w:p>
    <w:p>
      <w:pPr>
        <w:pStyle w:val="Compact"/>
        <w:numPr>
          <w:ilvl w:val="0"/>
          <w:numId w:val="1004"/>
        </w:numPr>
      </w:pPr>
      <w:r>
        <w:t xml:space="preserve">The current yield is a crude measure of return because it focuses solely on</w:t>
      </w:r>
      <w:r>
        <w:t xml:space="preserve"> </w:t>
      </w:r>
      <w:r>
        <w:t xml:space="preserve">interest income, ignoring the frequency of coupon payments, interest on</w:t>
      </w:r>
      <w:r>
        <w:t xml:space="preserve"> </w:t>
      </w:r>
      <w:r>
        <w:t xml:space="preserve">interest (time value of money), and accrued interest.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In addition to collecting and reinvesting coupon payments, the investor has</w:t>
      </w:r>
      <w:r>
        <w:t xml:space="preserve"> </w:t>
      </w:r>
      <w:r>
        <w:t xml:space="preserve">a gain if the bond is purchased at a discount and is redeemed at par value.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The investor has a loss if the bond is purchased at a premium and is</w:t>
      </w:r>
      <w:r>
        <w:t xml:space="preserve"> </w:t>
      </w:r>
      <w:r>
        <w:t xml:space="preserve">redeemed at par value.</w:t>
      </w:r>
    </w:p>
    <w:p>
      <w:r>
        <w:pict>
          <v:rect style="width:0;height:1.5pt" o:hralign="center" o:hrstd="t" o:hr="t"/>
        </w:pict>
      </w:r>
    </w:p>
    <w:bookmarkEnd w:id="22"/>
    <w:bookmarkStart w:id="23" w:name="yield-to-call"/>
    <w:p>
      <w:pPr>
        <w:pStyle w:val="Heading3"/>
      </w:pPr>
      <w:r>
        <w:t xml:space="preserve">Yield-to-Call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Call price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numPr>
          <w:ilvl w:val="0"/>
          <w:numId w:val="1005"/>
        </w:numPr>
      </w:pPr>
      <m:oMath>
        <m:r>
          <m:t>P</m:t>
        </m:r>
        <m:r>
          <m:t>V</m:t>
        </m:r>
      </m:oMath>
      <w:r>
        <w:t xml:space="preserve"> </w:t>
      </w:r>
      <w:r>
        <w:t xml:space="preserve">= the price of the bond</w:t>
      </w:r>
      <w:r>
        <w:br/>
      </w:r>
    </w:p>
    <w:p>
      <w:pPr>
        <w:numPr>
          <w:ilvl w:val="0"/>
          <w:numId w:val="1005"/>
        </w:numPr>
      </w:pPr>
      <m:oMath>
        <m:r>
          <m:t>P</m:t>
        </m:r>
        <m:r>
          <m:t>M</m:t>
        </m:r>
        <m:r>
          <m:t>T</m:t>
        </m:r>
      </m:oMath>
      <w:r>
        <w:t xml:space="preserve"> </w:t>
      </w:r>
      <w:r>
        <w:t xml:space="preserve">= coupon payment per period</w:t>
      </w:r>
      <w:r>
        <w:br/>
      </w:r>
    </w:p>
    <w:p>
      <w:pPr>
        <w:numPr>
          <w:ilvl w:val="0"/>
          <w:numId w:val="1005"/>
        </w:numPr>
      </w:pPr>
      <w:r>
        <w:t xml:space="preserve">Call price = price at which a bond can be called on a given date</w:t>
      </w:r>
      <w:r>
        <w:br/>
      </w:r>
    </w:p>
    <w:p>
      <w:pPr>
        <w:numPr>
          <w:ilvl w:val="0"/>
          <w:numId w:val="1005"/>
        </w:numPr>
      </w:pPr>
      <m:oMath>
        <m:r>
          <m:t>r</m:t>
        </m:r>
      </m:oMath>
      <w:r>
        <w:t xml:space="preserve"> </w:t>
      </w:r>
      <w:r>
        <w:t xml:space="preserve">= yield per period or market discount rate</w:t>
      </w:r>
      <w:r>
        <w:br/>
      </w:r>
    </w:p>
    <w:p>
      <w:pPr>
        <w:numPr>
          <w:ilvl w:val="0"/>
          <w:numId w:val="1005"/>
        </w:numPr>
      </w:pPr>
      <m:oMath>
        <m:r>
          <m:t>N</m:t>
        </m:r>
      </m:oMath>
      <w:r>
        <w:t xml:space="preserve"> </w:t>
      </w:r>
      <w:r>
        <w:t xml:space="preserve">= number of evenly spaced periods to the date when a bond can be called</w:t>
      </w:r>
      <w:r>
        <w:t xml:space="preserve"> </w:t>
      </w:r>
      <w:r>
        <w:t xml:space="preserve">at the call price</w:t>
      </w:r>
    </w:p>
    <w:p>
      <w:pPr>
        <w:numPr>
          <w:ilvl w:val="0"/>
          <w:numId w:val="1005"/>
        </w:numPr>
      </w:pPr>
      <w:r>
        <w:t xml:space="preserve">Traditional yield-to-maturity measures assume that all cash flows occur as</w:t>
      </w:r>
      <w:r>
        <w:t xml:space="preserve"> </w:t>
      </w:r>
      <w:r>
        <w:t xml:space="preserve">promised and therefore must be modified for callable bonds. Analysts must</w:t>
      </w:r>
      <w:r>
        <w:t xml:space="preserve"> </w:t>
      </w:r>
      <w:r>
        <w:t xml:space="preserve">use alternative return measures that take the bond’s call feature into</w:t>
      </w:r>
      <w:r>
        <w:t xml:space="preserve"> </w:t>
      </w:r>
      <w:r>
        <w:t xml:space="preserve">account, such as the yield to the first call date, the second call date,</w:t>
      </w:r>
      <w:r>
        <w:t xml:space="preserve"> </w:t>
      </w:r>
      <w:r>
        <w:t xml:space="preserve">and so on. The yield-to-call is calculated by modifying the general formula</w:t>
      </w:r>
      <w:r>
        <w:t xml:space="preserve"> </w:t>
      </w:r>
      <w:r>
        <w:t xml:space="preserve">for calculating yield-to-maturity.</w:t>
      </w:r>
      <w:r>
        <w:br/>
      </w:r>
    </w:p>
    <w:p>
      <w:pPr>
        <w:numPr>
          <w:ilvl w:val="0"/>
          <w:numId w:val="1005"/>
        </w:numPr>
      </w:pPr>
      <w:r>
        <w:t xml:space="preserve">The lowest of the sequence of yields-to-call and the yield-to-maturity is</w:t>
      </w:r>
      <w:r>
        <w:t xml:space="preserve"> </w:t>
      </w:r>
      <w:r>
        <w:t xml:space="preserve">known as the yield-to-worst.</w:t>
      </w:r>
    </w:p>
    <w:p>
      <w:r>
        <w:pict>
          <v:rect style="width:0;height:1.5pt" o:hralign="center" o:hrstd="t" o:hr="t"/>
        </w:pict>
      </w:r>
    </w:p>
    <w:bookmarkEnd w:id="23"/>
    <w:bookmarkStart w:id="24" w:name="z-spread"/>
    <w:p>
      <w:pPr>
        <w:pStyle w:val="Heading3"/>
      </w:pPr>
      <w:r>
        <w:t xml:space="preserve">Z-spread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Z</m:t>
                      </m:r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Z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P</m:t>
              </m:r>
              <m:r>
                <m:t>M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t>F</m:t>
              </m:r>
              <m:r>
                <m:t>V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z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Z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numPr>
          <w:ilvl w:val="0"/>
          <w:numId w:val="1006"/>
        </w:numPr>
      </w:pPr>
      <w:r>
        <w:t xml:space="preserve">The Z-spread over the benchmark spot curve can be calculated with Equation 4:</w:t>
      </w:r>
    </w:p>
    <w:p>
      <w:pPr>
        <w:numPr>
          <w:ilvl w:val="0"/>
          <w:numId w:val="1006"/>
        </w:numPr>
      </w:pPr>
      <m:oMath>
        <m:sSub>
          <m:e>
            <m:r>
              <m:t>z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z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z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are the benchmark spot or zero rate are derived from the</w:t>
      </w:r>
      <w:r>
        <w:t xml:space="preserve"> </w:t>
      </w:r>
      <w:r>
        <w:t xml:space="preserve">government yield curve (or from fixed rates on interest rate swaps)</w:t>
      </w:r>
      <w:r>
        <w:br/>
      </w:r>
    </w:p>
    <w:p>
      <w:pPr>
        <w:numPr>
          <w:ilvl w:val="0"/>
          <w:numId w:val="1006"/>
        </w:numPr>
      </w:pPr>
      <m:oMath>
        <m:r>
          <m:t>Z</m:t>
        </m:r>
      </m:oMath>
      <w:r>
        <w:t xml:space="preserve"> </w:t>
      </w:r>
      <w:r>
        <w:t xml:space="preserve">is the Z-spread per period and is the same for all time periods</w:t>
      </w:r>
      <w:r>
        <w:br/>
      </w:r>
    </w:p>
    <w:p>
      <w:pPr>
        <w:numPr>
          <w:ilvl w:val="0"/>
          <w:numId w:val="1006"/>
        </w:numPr>
      </w:pPr>
      <w:r>
        <w:t xml:space="preserve">Zero-volatility spread, a constant yield spread over a government (or</w:t>
      </w:r>
      <w:r>
        <w:t xml:space="preserve"> </w:t>
      </w:r>
      <w:r>
        <w:t xml:space="preserve">interest rate swap) spot curve used to derive the term structure of credit</w:t>
      </w:r>
      <w:r>
        <w:t xml:space="preserve"> </w:t>
      </w:r>
      <w:r>
        <w:t xml:space="preserve">spreads for an issuer.</w:t>
      </w:r>
    </w:p>
    <w:p>
      <w:pPr>
        <w:numPr>
          <w:ilvl w:val="0"/>
          <w:numId w:val="1006"/>
        </w:numPr>
      </w:pPr>
      <w:r>
        <w:t xml:space="preserve">Sometimes, the Z-spread is called the</w:t>
      </w:r>
      <w:r>
        <w:t xml:space="preserve"> </w:t>
      </w:r>
      <w:r>
        <w:t xml:space="preserve">“static spread”</w:t>
      </w:r>
      <w:r>
        <w:t xml:space="preserve"> </w:t>
      </w:r>
      <w:r>
        <w:t xml:space="preserve">because it is constant</w:t>
      </w:r>
      <w:r>
        <w:t xml:space="preserve"> </w:t>
      </w:r>
      <w:r>
        <w:t xml:space="preserve">(and has zero volatility)</w:t>
      </w:r>
      <w:r>
        <w:br/>
      </w:r>
    </w:p>
    <w:p>
      <w:pPr>
        <w:numPr>
          <w:ilvl w:val="0"/>
          <w:numId w:val="1006"/>
        </w:numPr>
      </w:pPr>
      <w:r>
        <w:t xml:space="preserve">In practice, the Z-spread is usually calculated in a spreadsheet using a</w:t>
      </w:r>
      <w:r>
        <w:t xml:space="preserve"> </w:t>
      </w:r>
      <w:r>
        <w:t xml:space="preserve">goal seek function or similar solver function.</w:t>
      </w:r>
      <w:r>
        <w:br/>
      </w:r>
    </w:p>
    <w:p>
      <w:pPr>
        <w:numPr>
          <w:ilvl w:val="0"/>
          <w:numId w:val="1006"/>
        </w:numPr>
      </w:pPr>
      <w:r>
        <w:t xml:space="preserve">The Z-spread is also used to calculate the option-adjusted spread (OAS) on</w:t>
      </w:r>
      <w:r>
        <w:t xml:space="preserve"> </w:t>
      </w:r>
      <w:r>
        <w:t xml:space="preserve">a callable bond.</w:t>
      </w:r>
    </w:p>
    <w:p>
      <w:r>
        <w:pict>
          <v:rect style="width:0;height:1.5pt" o:hralign="center" o:hrstd="t" o:hr="t"/>
        </w:pict>
      </w:r>
    </w:p>
    <w:bookmarkEnd w:id="24"/>
    <w:bookmarkStart w:id="25" w:name="option-adjusted-spread"/>
    <w:p>
      <w:pPr>
        <w:pStyle w:val="Heading3"/>
      </w:pPr>
      <w:r>
        <w:t xml:space="preserve">Option-Adjusted Spread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OAS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Z-spread</m:t>
          </m:r>
          <m:r>
            <m:rPr>
              <m:sty m:val="p"/>
            </m:rPr>
            <m:t>−</m:t>
          </m:r>
          <m:r>
            <m:rPr>
              <m:nor/>
              <m:sty m:val="p"/>
            </m:rPr>
            <m:t>Option value in basis points per year</m:t>
          </m:r>
        </m:oMath>
      </m:oMathPara>
    </w:p>
    <w:p>
      <w:pPr>
        <w:pStyle w:val="Compact"/>
        <w:numPr>
          <w:ilvl w:val="0"/>
          <w:numId w:val="1007"/>
        </w:numPr>
      </w:pPr>
      <w:r>
        <w:t xml:space="preserve">The Z-spread adjusted for the value of an embedded call option.</w:t>
      </w:r>
    </w:p>
    <w:p>
      <w:r>
        <w:pict>
          <v:rect style="width:0;height:1.5pt" o:hralign="center" o:hrstd="t" o:hr="t"/>
        </w:pic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7: Yield and Yield Spread Measures for Fixed-Rate Bonds</dc:title>
  <dc:creator/>
  <cp:keywords/>
  <dcterms:created xsi:type="dcterms:W3CDTF">2026-03-12T21:49:59Z</dcterms:created>
  <dcterms:modified xsi:type="dcterms:W3CDTF">2026-03-12T21:49:59Z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