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6: Fixed-Income Bond Valuation: Prices and Yields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present-value-pv-bond-coupon"/>
    <w:p>
      <w:pPr>
        <w:pStyle w:val="Heading3"/>
      </w:pPr>
      <w:r>
        <w:t xml:space="preserve">Present Value (PV) Bond Coupon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PV(Bond Coupon)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rPr>
                      <m:nor/>
                      <m:sty m:val="p"/>
                    </m:rPr>
                    <m:t>PMT</m:t>
                  </m:r>
                </m:e>
                <m:sub>
                  <m:r>
                    <m:t>t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t</m:t>
                  </m:r>
                </m:sup>
              </m:sSup>
            </m:den>
          </m:f>
        </m:oMath>
      </m:oMathPara>
    </w:p>
    <w:p>
      <w:pPr>
        <w:pStyle w:val="Compact"/>
        <w:numPr>
          <w:ilvl w:val="0"/>
          <w:numId w:val="1001"/>
        </w:numPr>
      </w:pPr>
      <w:r>
        <w:t xml:space="preserve">The present value (PV) calculation for each bond coupon cash flow (PMT)</w:t>
      </w:r>
      <w:r>
        <w:t xml:space="preserve"> </w:t>
      </w:r>
      <w:r>
        <w:t xml:space="preserve">that occurs 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periods with a market discount rate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per period</w:t>
      </w:r>
      <w:r>
        <w:t xml:space="preserve"> </w:t>
      </w:r>
      <w:r>
        <w:t xml:space="preserve">should be familiar from an earlier time-value-of-money lesson</w:t>
      </w:r>
    </w:p>
    <w:p>
      <w:r>
        <w:pict>
          <v:rect style="width:0;height:1.5pt" o:hralign="center" o:hrstd="t" o:hr="t"/>
        </w:pict>
      </w:r>
    </w:p>
    <w:bookmarkEnd w:id="20"/>
    <w:bookmarkStart w:id="21" w:name="calculating-a-bond-pricepv"/>
    <w:p>
      <w:pPr>
        <w:pStyle w:val="Heading3"/>
      </w:pPr>
      <w:r>
        <w:t xml:space="preserve">Calculating a Bond Price(PV)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r>
                    <m:t>M</m:t>
                  </m:r>
                  <m:sSub>
                    <m:e>
                      <m:r>
                        <m:t>T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t>F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N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Equation 2 extends Equation 1 in a general formula for calculating a bond</w:t>
      </w:r>
      <w:r>
        <w:t xml:space="preserve"> </w:t>
      </w:r>
      <w:r>
        <w:t xml:space="preserve">price (</w:t>
      </w:r>
      <m:oMath>
        <m:r>
          <m:t>P</m:t>
        </m:r>
        <m:r>
          <m:t>V</m:t>
        </m:r>
      </m:oMath>
      <w:r>
        <w:t xml:space="preserve">) given the market discount rate on a coupon date</w:t>
      </w:r>
    </w:p>
    <w:p>
      <w:pPr>
        <w:pStyle w:val="BodyText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r>
          <m:t>F</m:t>
        </m:r>
        <m:r>
          <m:t>V</m:t>
        </m:r>
      </m:oMath>
      <w:r>
        <w:t xml:space="preserve"> </w:t>
      </w:r>
      <w:r>
        <w:t xml:space="preserve">is equal to the bond’s face value</w:t>
      </w:r>
    </w:p>
    <w:p>
      <w:pPr>
        <w:pStyle w:val="Compact"/>
        <w:numPr>
          <w:ilvl w:val="0"/>
          <w:numId w:val="1002"/>
        </w:numPr>
      </w:pPr>
      <m:oMath>
        <m:r>
          <m:t>N</m:t>
        </m:r>
      </m:oMath>
      <w:r>
        <w:t xml:space="preserve"> </w:t>
      </w:r>
      <w:r>
        <w:t xml:space="preserve">is the number of periods to maturity.</w:t>
      </w:r>
    </w:p>
    <w:p>
      <w:r>
        <w:pict>
          <v:rect style="width:0;height:1.5pt" o:hralign="center" o:hrstd="t" o:hr="t"/>
        </w:pict>
      </w:r>
    </w:p>
    <w:bookmarkEnd w:id="21"/>
    <w:bookmarkStart w:id="22" w:name="yield-to-maturity-ytm"/>
    <w:p>
      <w:pPr>
        <w:pStyle w:val="Heading3"/>
      </w:pPr>
      <w:r>
        <w:t xml:space="preserve">Yield-to-Maturity (YTM)</w:t>
      </w:r>
    </w:p>
    <w:p>
      <w:pPr>
        <w:numPr>
          <w:ilvl w:val="0"/>
          <w:numId w:val="1003"/>
        </w:numPr>
      </w:pPr>
      <w:r>
        <w:t xml:space="preserve">If the market price of a bond is known, Equation 2 can be used to calculate</w:t>
      </w:r>
      <w:r>
        <w:t xml:space="preserve"> </w:t>
      </w:r>
      <w:r>
        <w:t xml:space="preserve">its yield-to-maturity.</w:t>
      </w:r>
    </w:p>
    <w:p>
      <w:pPr>
        <w:numPr>
          <w:ilvl w:val="0"/>
          <w:numId w:val="1003"/>
        </w:numPr>
      </w:pPr>
      <w:r>
        <w:t xml:space="preserve">The yield-to-maturity is the internal rate of return on the cash flows—the</w:t>
      </w:r>
      <w:r>
        <w:t xml:space="preserve"> </w:t>
      </w:r>
      <w:r>
        <w:t xml:space="preserve">uniform interest rate such that when the future cash flows are discounted</w:t>
      </w:r>
      <w:r>
        <w:t xml:space="preserve"> </w:t>
      </w:r>
      <w:r>
        <w:t xml:space="preserve">at that rate, the sum of the present values equals the price of the bond.</w:t>
      </w:r>
      <w:r>
        <w:t xml:space="preserve"> </w:t>
      </w:r>
      <w:r>
        <w:t xml:space="preserve">It is an implied or observed single market discount rate.</w:t>
      </w:r>
    </w:p>
    <w:p>
      <w:pPr>
        <w:numPr>
          <w:ilvl w:val="0"/>
          <w:numId w:val="1003"/>
        </w:numPr>
      </w:pPr>
      <w:r>
        <w:t xml:space="preserve">The Microsoft Excel or Google Sheets YIELD function may be used for bonds</w:t>
      </w:r>
      <w:r>
        <w:t xml:space="preserve"> </w:t>
      </w:r>
      <w:r>
        <w:t xml:space="preserve">that pay periodic interest:</w:t>
      </w:r>
    </w:p>
    <w:p>
      <w:pPr>
        <w:pStyle w:val="FirstParagraph"/>
      </w:pPr>
      <w:r>
        <w:t xml:space="preserve">=YIELD(settlement, maturity, rate, pr, redemption, frequency, [basis])</w:t>
      </w:r>
    </w:p>
    <w:p>
      <w:pPr>
        <w:pStyle w:val="BodyText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w:r>
        <w:t xml:space="preserve">settlement is the settlement date entered using the DATE function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maturity is the maturity date entered using the DATE function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rate is the semi-annual (or periodic) coupon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pr is the price per 100 face value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redemption is the future value at maturity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frequency is the number of coupons per year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[basis] is the day-count convention, typically 0 for US bonds (30/360 day</w:t>
      </w:r>
      <w:r>
        <w:t xml:space="preserve"> </w:t>
      </w:r>
      <w:r>
        <w:t xml:space="preserve">count)</w:t>
      </w:r>
    </w:p>
    <w:p>
      <w:r>
        <w:pict>
          <v:rect style="width:0;height:1.5pt" o:hralign="center" o:hrstd="t" o:hr="t"/>
        </w:pict>
      </w:r>
    </w:p>
    <w:bookmarkEnd w:id="22"/>
    <w:bookmarkStart w:id="23" w:name="full-price"/>
    <w:p>
      <w:pPr>
        <w:pStyle w:val="Heading3"/>
      </w:pPr>
      <w:r>
        <w:t xml:space="preserve">Full Price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rPr>
                  <m:nor/>
                  <m:sty m:val="p"/>
                </m:rPr>
                <m:t>PV</m:t>
              </m:r>
            </m:e>
            <m:sup>
              <m:r>
                <m:rPr>
                  <m:nor/>
                  <m:sty m:val="p"/>
                </m:rPr>
                <m:t>Full</m:t>
              </m:r>
            </m:sup>
          </m:sSup>
          <m:r>
            <m:rPr>
              <m:sty m:val="p"/>
            </m:rPr>
            <m:t>=</m:t>
          </m:r>
          <m:sSup>
            <m:e>
              <m:r>
                <m:rPr>
                  <m:nor/>
                  <m:sty m:val="p"/>
                </m:rPr>
                <m:t>PV</m:t>
              </m:r>
            </m:e>
            <m:sup>
              <m:r>
                <m:rPr>
                  <m:nor/>
                  <m:sty m:val="p"/>
                </m:rPr>
                <m:t>Flat</m:t>
              </m:r>
            </m:sup>
          </m:sSup>
          <m:r>
            <m:rPr>
              <m:sty m:val="p"/>
            </m:rPr>
            <m:t>+</m:t>
          </m:r>
          <m:r>
            <m:rPr>
              <m:nor/>
              <m:sty m:val="p"/>
            </m:rPr>
            <m:t>AI</m:t>
          </m:r>
        </m:oMath>
      </m:oMathPara>
    </w:p>
    <w:p>
      <w:pPr>
        <w:pStyle w:val="Compact"/>
        <w:numPr>
          <w:ilvl w:val="0"/>
          <w:numId w:val="1005"/>
        </w:numPr>
      </w:pPr>
      <w:r>
        <w:t xml:space="preserve">When a bond is priced between coupon payment dates, its price has two</w:t>
      </w:r>
      <w:r>
        <w:t xml:space="preserve"> </w:t>
      </w:r>
      <w:r>
        <w:t xml:space="preserve">components: the flat price (PV</w:t>
      </w:r>
      <m:oMath>
        <m:sSup>
          <m:e>
            <m:r>
              <m:t>​</m:t>
            </m:r>
          </m:e>
          <m:sup>
            <m:r>
              <m:rPr>
                <m:nor/>
                <m:sty m:val="p"/>
              </m:rPr>
              <m:t>Flat</m:t>
            </m:r>
          </m:sup>
        </m:sSup>
      </m:oMath>
      <w:r>
        <w:t xml:space="preserve">) and the accrued interest</w:t>
      </w:r>
      <w:r>
        <w:t xml:space="preserve"> </w:t>
      </w:r>
      <w:r>
        <w:t xml:space="preserve">(AI). The sum of the parts is the full price (PV</w:t>
      </w:r>
      <m:oMath>
        <m:sSup>
          <m:e>
            <m:r>
              <m:t>​</m:t>
            </m:r>
          </m:e>
          <m:sup>
            <m:r>
              <m:rPr>
                <m:nor/>
                <m:sty m:val="p"/>
              </m:rPr>
              <m:t>Full</m:t>
            </m:r>
          </m:sup>
        </m:sSup>
      </m:oMath>
      <w:r>
        <w:t xml:space="preserve">), which</w:t>
      </w:r>
      <w:r>
        <w:t xml:space="preserve"> </w:t>
      </w:r>
      <w:r>
        <w:t xml:space="preserve">also is known as the invoice or</w:t>
      </w:r>
      <w:r>
        <w:t xml:space="preserve"> </w:t>
      </w:r>
      <w:r>
        <w:t xml:space="preserve">“dirty”</w:t>
      </w:r>
      <w:r>
        <w:t xml:space="preserve"> </w:t>
      </w:r>
      <w:r>
        <w:t xml:space="preserve">price</w:t>
      </w:r>
    </w:p>
    <w:bookmarkEnd w:id="23"/>
    <w:bookmarkStart w:id="24" w:name="flat-price"/>
    <w:p>
      <w:pPr>
        <w:pStyle w:val="Heading3"/>
      </w:pPr>
      <w:r>
        <w:t xml:space="preserve">Flat Price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Flat Price</m:t>
          </m:r>
          <m:r>
            <m:rPr>
              <m:sty m:val="p"/>
            </m:rPr>
            <m:t>=</m:t>
          </m:r>
          <m:sSup>
            <m:e>
              <m:r>
                <m:rPr>
                  <m:nor/>
                  <m:sty m:val="p"/>
                </m:rPr>
                <m:t>PV</m:t>
              </m:r>
            </m:e>
            <m:sup>
              <m:r>
                <m:rPr>
                  <m:nor/>
                  <m:sty m:val="p"/>
                </m:rPr>
                <m:t>Full</m:t>
              </m:r>
            </m:sup>
          </m:sSup>
          <m:r>
            <m:rPr>
              <m:sty m:val="p"/>
            </m:rPr>
            <m:t>−</m:t>
          </m:r>
          <m:r>
            <m:rPr>
              <m:nor/>
              <m:sty m:val="p"/>
            </m:rPr>
            <m:t>AI</m:t>
          </m:r>
        </m:oMath>
      </m:oMathPara>
    </w:p>
    <w:p>
      <w:pPr>
        <w:pStyle w:val="Compact"/>
        <w:numPr>
          <w:ilvl w:val="0"/>
          <w:numId w:val="1006"/>
        </w:numPr>
      </w:pPr>
      <w:r>
        <w:t xml:space="preserve">The flat price, which is the full price minus the accrued interest, is also</w:t>
      </w:r>
      <w:r>
        <w:t xml:space="preserve"> </w:t>
      </w:r>
      <w:r>
        <w:t xml:space="preserve">called the quoted or</w:t>
      </w:r>
      <w:r>
        <w:t xml:space="preserve"> </w:t>
      </w:r>
      <w:r>
        <w:t xml:space="preserve">“clean”</w:t>
      </w:r>
      <w:r>
        <w:t xml:space="preserve"> </w:t>
      </w:r>
      <w:r>
        <w:t xml:space="preserve">price and is the type of price usually quoted</w:t>
      </w:r>
      <w:r>
        <w:t xml:space="preserve"> </w:t>
      </w:r>
      <w:r>
        <w:t xml:space="preserve">by bond dealers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The flat price is used for quotations to avoid misleading investors about a</w:t>
      </w:r>
      <w:r>
        <w:t xml:space="preserve"> </w:t>
      </w:r>
      <w:r>
        <w:t xml:space="preserve">bond’s market price trend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If full prices were quoted by dealers, investors would see price rises</w:t>
      </w:r>
      <w:r>
        <w:t xml:space="preserve"> </w:t>
      </w:r>
      <w:r>
        <w:t xml:space="preserve">each day even if the YTM did not change due to the accrual of interest.</w:t>
      </w:r>
    </w:p>
    <w:p>
      <w:r>
        <w:pict>
          <v:rect style="width:0;height:1.5pt" o:hralign="center" o:hrstd="t" o:hr="t"/>
        </w:pict>
      </w:r>
    </w:p>
    <w:bookmarkEnd w:id="24"/>
    <w:bookmarkStart w:id="25" w:name="accrued-interest"/>
    <w:p>
      <w:pPr>
        <w:pStyle w:val="Heading3"/>
      </w:pPr>
      <w:r>
        <w:t xml:space="preserve">Accrued Interest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AI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t</m:t>
              </m:r>
            </m:num>
            <m:den>
              <m:r>
                <m:t>T</m:t>
              </m:r>
            </m:den>
          </m:f>
          <m:r>
            <m:rPr>
              <m:sty m:val="p"/>
            </m:rPr>
            <m:t>×</m:t>
          </m:r>
          <m:r>
            <m:rPr>
              <m:nor/>
              <m:sty m:val="p"/>
            </m:rPr>
            <m:t>PMT</m:t>
          </m:r>
        </m:oMath>
      </m:oMathPara>
    </w:p>
    <w:p>
      <w:pPr>
        <w:pStyle w:val="Compact"/>
        <w:numPr>
          <w:ilvl w:val="0"/>
          <w:numId w:val="1007"/>
        </w:numPr>
      </w:pPr>
      <w:r>
        <w:t xml:space="preserve">The accrued interest is the portion of the next coupon payment owed to the</w:t>
      </w:r>
      <w:r>
        <w:t xml:space="preserve"> </w:t>
      </w:r>
      <w:r>
        <w:t xml:space="preserve">seller of a bond, because although the seller held the bond for a partial</w:t>
      </w:r>
      <w:r>
        <w:t xml:space="preserve"> </w:t>
      </w:r>
      <w:r>
        <w:t xml:space="preserve">coupon period, the full coupon will be received by the buyer.</w:t>
      </w:r>
    </w:p>
    <w:p>
      <w:pPr>
        <w:pStyle w:val="Compact"/>
        <w:numPr>
          <w:ilvl w:val="0"/>
          <w:numId w:val="1007"/>
        </w:numPr>
      </w:pPr>
      <w:r>
        <w:t xml:space="preserve">To calculate accrued interest, we determine the fractional amount by</w:t>
      </w:r>
      <w:r>
        <w:t xml:space="preserve"> </w:t>
      </w:r>
      <w:r>
        <w:t xml:space="preserve">counting the days in the period. If the coupon period has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days</w:t>
      </w:r>
      <w:r>
        <w:t xml:space="preserve"> </w:t>
      </w:r>
      <w:r>
        <w:t xml:space="preserve">between payment dates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days have passed since the last payment, the</w:t>
      </w:r>
      <w:r>
        <w:t xml:space="preserve"> </w:t>
      </w:r>
      <w:r>
        <w:t xml:space="preserve">accrued interest is calculated using Equation 4.</w:t>
      </w:r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8"/>
        </w:numPr>
      </w:pPr>
      <m:oMath>
        <m:r>
          <m:t>t</m:t>
        </m:r>
      </m:oMath>
      <w:r>
        <w:t xml:space="preserve"> </w:t>
      </w:r>
      <w:r>
        <w:t xml:space="preserve">= number of days from the prior coupon payment to the settlement date</w:t>
      </w:r>
      <w:r>
        <w:br/>
      </w:r>
    </w:p>
    <w:p>
      <w:pPr>
        <w:pStyle w:val="Compact"/>
        <w:numPr>
          <w:ilvl w:val="0"/>
          <w:numId w:val="1008"/>
        </w:numPr>
      </w:pPr>
      <m:oMath>
        <m:r>
          <m:t>T</m:t>
        </m:r>
      </m:oMath>
      <w:r>
        <w:t xml:space="preserve"> </w:t>
      </w:r>
      <w:r>
        <w:t xml:space="preserve">= number of days in the coupon period</w:t>
      </w:r>
      <w:r>
        <w:br/>
      </w:r>
    </w:p>
    <w:p>
      <w:pPr>
        <w:pStyle w:val="Compact"/>
        <w:numPr>
          <w:ilvl w:val="0"/>
          <w:numId w:val="1008"/>
        </w:numPr>
      </w:pPr>
      <m:oMath>
        <m:r>
          <m:t>t</m:t>
        </m:r>
        <m:r>
          <m:rPr>
            <m:sty m:val="p"/>
          </m:rPr>
          <m:t>/</m:t>
        </m:r>
        <m:r>
          <m:t>T</m:t>
        </m:r>
      </m:oMath>
      <w:r>
        <w:t xml:space="preserve"> </w:t>
      </w:r>
      <w:r>
        <w:t xml:space="preserve">= fraction of coupon period that has passed since the prior payment</w:t>
      </w:r>
      <w:r>
        <w:br/>
      </w:r>
    </w:p>
    <w:p>
      <w:pPr>
        <w:pStyle w:val="Compact"/>
        <w:numPr>
          <w:ilvl w:val="0"/>
          <w:numId w:val="1008"/>
        </w:numPr>
      </w:pPr>
      <m:oMath>
        <m:r>
          <m:t>P</m:t>
        </m:r>
        <m:r>
          <m:t>M</m:t>
        </m:r>
        <m:r>
          <m:t>T</m:t>
        </m:r>
      </m:oMath>
      <w:r>
        <w:t xml:space="preserve"> </w:t>
      </w:r>
      <w:r>
        <w:t xml:space="preserve">= coupon payment per period</w:t>
      </w:r>
    </w:p>
    <w:p>
      <w:r>
        <w:pict>
          <v:rect style="width:0;height:1.5pt" o:hralign="center" o:hrstd="t" o:hr="t"/>
        </w:pict>
      </w:r>
    </w:p>
    <w:bookmarkEnd w:id="25"/>
    <w:bookmarkStart w:id="26" w:name="Xf379d1cd5b96c120324e4360124b422feaef634"/>
    <w:p>
      <w:pPr>
        <w:pStyle w:val="Heading3"/>
      </w:pPr>
      <w:r>
        <w:t xml:space="preserve">Calculate Full Price of a Fixed-Rate Bond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sSup>
            <m:e>
              <m:r>
                <m:t>V</m:t>
              </m:r>
            </m:e>
            <m:sup>
              <m:r>
                <m:t>F</m:t>
              </m:r>
              <m:r>
                <m:t>u</m:t>
              </m:r>
              <m:r>
                <m:t>l</m:t>
              </m:r>
              <m:r>
                <m:t>l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T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T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  <m:r>
                <m:rPr>
                  <m:sty m:val="p"/>
                </m:rPr>
                <m:t>+</m:t>
              </m:r>
              <m:r>
                <m:t>F</m:t>
              </m:r>
              <m:r>
                <m:t>V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T</m:t>
                  </m:r>
                </m:sup>
              </m:sSup>
            </m:den>
          </m:f>
        </m:oMath>
      </m:oMathPara>
    </w:p>
    <w:p>
      <w:pPr>
        <w:pStyle w:val="Compact"/>
        <w:numPr>
          <w:ilvl w:val="0"/>
          <w:numId w:val="1009"/>
        </w:numPr>
      </w:pPr>
      <w:r>
        <w:t xml:space="preserve">The full price of a fixed-rate bond between coupon payments given the market</w:t>
      </w:r>
      <w:r>
        <w:t xml:space="preserve"> </w:t>
      </w:r>
      <w:r>
        <w:t xml:space="preserve">discount rate per period (</w:t>
      </w:r>
      <m:oMath>
        <m:r>
          <m:t>r</m:t>
        </m:r>
      </m:oMath>
      <w:r>
        <w:t xml:space="preserve">) is the present value of future cash flows as</w:t>
      </w:r>
      <w:r>
        <w:t xml:space="preserve"> </w:t>
      </w:r>
      <w:r>
        <w:t xml:space="preserve">of the trade settlement date, as shown in Equation 5</w:t>
      </w:r>
      <w:r>
        <w:br/>
      </w:r>
    </w:p>
    <w:p>
      <w:pPr>
        <w:pStyle w:val="Compact"/>
        <w:numPr>
          <w:ilvl w:val="0"/>
          <w:numId w:val="1009"/>
        </w:numPr>
      </w:pPr>
      <w:r>
        <w:t xml:space="preserve">This is very similar to Equation 2. The difference is that the next coupon</w:t>
      </w:r>
      <w:r>
        <w:t xml:space="preserve"> </w:t>
      </w:r>
      <w:r>
        <w:t xml:space="preserve">payment (</w:t>
      </w:r>
      <m:oMath>
        <m:r>
          <m:t>P</m:t>
        </m:r>
        <m:r>
          <m:t>M</m:t>
        </m:r>
        <m:r>
          <m:t>T</m:t>
        </m:r>
      </m:oMath>
      <w:r>
        <w:t xml:space="preserve">) is discounted for the remainder of the coupon period, which</w:t>
      </w:r>
      <w:r>
        <w:t xml:space="preserve"> </w:t>
      </w:r>
      <w:r>
        <w:t xml:space="preserve">is</w:t>
      </w:r>
      <w:r>
        <w:t xml:space="preserve"> </w:t>
      </w:r>
      <m:oMath>
        <m:r>
          <m:t>1</m:t>
        </m:r>
        <m:r>
          <m:rPr>
            <m:sty m:val="p"/>
          </m:rPr>
          <m:t>−</m:t>
        </m:r>
        <m:r>
          <m:t>t</m:t>
        </m:r>
        <m:r>
          <m:rPr>
            <m:sty m:val="p"/>
          </m:rPr>
          <m:t>/</m:t>
        </m:r>
        <m:r>
          <m:t>T</m:t>
        </m:r>
      </m:oMath>
      <w:r>
        <w:t xml:space="preserve">. The second coupon payment is discounted for that fraction plus</w:t>
      </w:r>
      <w:r>
        <w:t xml:space="preserve"> </w:t>
      </w:r>
      <w:r>
        <w:t xml:space="preserve">another full period,</w:t>
      </w:r>
      <w:r>
        <w:t xml:space="preserve"> </w:t>
      </w:r>
      <m:oMath>
        <m:r>
          <m:t>2</m:t>
        </m:r>
        <m:r>
          <m:rPr>
            <m:sty m:val="p"/>
          </m:rPr>
          <m:t>−</m:t>
        </m:r>
        <m:r>
          <m:t>t</m:t>
        </m:r>
        <m:r>
          <m:rPr>
            <m:sty m:val="p"/>
          </m:rPr>
          <m:t>/</m:t>
        </m:r>
        <m:r>
          <m:t>T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6"/>
    <w:bookmarkStart w:id="27" w:name="Xdb94e449959e7649683d90bc0db9a79a484bb6b"/>
    <w:p>
      <w:pPr>
        <w:pStyle w:val="Heading3"/>
      </w:pPr>
      <w:r>
        <w:t xml:space="preserve">Calculate Full Price of a Fixed-Rate Bond simplified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sSup>
            <m:e>
              <m:r>
                <m:t>V</m:t>
              </m:r>
            </m:e>
            <m:sup>
              <m:r>
                <m:t>F</m:t>
              </m:r>
              <m:r>
                <m:t>u</m:t>
              </m:r>
              <m:r>
                <m:t>l</m:t>
              </m:r>
              <m:r>
                <m:t>l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f>
                <m:fPr>
                  <m:type m:val="bar"/>
                </m:fPr>
                <m:num>
                  <m:r>
                    <m:t>P</m:t>
                  </m:r>
                  <m:r>
                    <m:t>M</m:t>
                  </m:r>
                  <m:r>
                    <m:t>T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1</m:t>
                      </m:r>
                    </m:sup>
                  </m:sSup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P</m:t>
                  </m:r>
                  <m:r>
                    <m:t>M</m:t>
                  </m:r>
                  <m:r>
                    <m:t>T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P</m:t>
                  </m:r>
                  <m:r>
                    <m:t>M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F</m:t>
                  </m:r>
                  <m:r>
                    <m:t>V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r</m:t>
                          </m:r>
                        </m:e>
                      </m:d>
                    </m:e>
                    <m:sup>
                      <m:r>
                        <m:t>N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×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e>
              </m:d>
            </m:e>
            <m:sup>
              <m:r>
                <m:t>t</m:t>
              </m:r>
              <m:r>
                <m:rPr>
                  <m:sty m:val="p"/>
                </m:rPr>
                <m:t>/</m:t>
              </m:r>
              <m:r>
                <m:t>T</m:t>
              </m:r>
            </m:sup>
          </m:sSup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P</m:t>
          </m:r>
          <m:r>
            <m:t>V</m:t>
          </m:r>
          <m:r>
            <m:rPr>
              <m:sty m:val="p"/>
            </m:rPr>
            <m:t>×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e>
              </m:d>
            </m:e>
            <m:sup>
              <m:r>
                <m:t>t</m:t>
              </m:r>
              <m:r>
                <m:rPr>
                  <m:sty m:val="p"/>
                </m:rPr>
                <m:t>/</m:t>
              </m:r>
              <m:r>
                <m:t>T</m:t>
              </m:r>
            </m:sup>
          </m:sSup>
        </m:oMath>
      </m:oMathPara>
    </w:p>
    <w:p>
      <w:pPr>
        <w:pStyle w:val="Compact"/>
        <w:numPr>
          <w:ilvl w:val="0"/>
          <w:numId w:val="1010"/>
        </w:numPr>
      </w:pPr>
      <w:r>
        <w:t xml:space="preserve">Equation 5 is simplified by multiplying both the numerator and denominator</w:t>
      </w:r>
      <w:r>
        <w:t xml:space="preserve"> </w:t>
      </w:r>
      <w:r>
        <w:t xml:space="preserve">by the expression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r</m:t>
                </m:r>
              </m:e>
            </m:d>
          </m:e>
          <m:sup>
            <m:r>
              <m:t>t</m:t>
            </m:r>
            <m:r>
              <m:rPr>
                <m:sty m:val="p"/>
              </m:rPr>
              <m:t>/</m:t>
            </m:r>
            <m:r>
              <m:t>T</m:t>
            </m:r>
          </m:sup>
        </m:sSup>
      </m:oMath>
      <w:r>
        <w:t xml:space="preserve">. The result is Equation 6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An advantage of Equation 6 is that the expression in the brackets,</w:t>
      </w:r>
      <w:r>
        <w:t xml:space="preserve"> </w:t>
      </w:r>
      <m:oMath>
        <m:r>
          <m:t>P</m:t>
        </m:r>
        <m:r>
          <m:t>V</m:t>
        </m:r>
      </m:oMath>
      <w:r>
        <w:t xml:space="preserve">, is</w:t>
      </w:r>
      <w:r>
        <w:t xml:space="preserve"> </w:t>
      </w:r>
      <w:r>
        <w:t xml:space="preserve">easily obtained using the Excel YIELD function because there are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evenly</w:t>
      </w:r>
      <w:r>
        <w:t xml:space="preserve"> </w:t>
      </w:r>
      <w:r>
        <w:t xml:space="preserve">spaced periods.</w:t>
      </w:r>
      <w:r>
        <w:t xml:space="preserve"> </w:t>
      </w:r>
      <m:oMath>
        <m:r>
          <m:t>P</m:t>
        </m:r>
        <m:r>
          <m:t>V</m:t>
        </m:r>
      </m:oMath>
      <w:r>
        <w:t xml:space="preserve"> </w:t>
      </w:r>
      <w:r>
        <w:t xml:space="preserve">here is the present value of future cash flows as of</w:t>
      </w:r>
      <w:r>
        <w:t xml:space="preserve"> </w:t>
      </w:r>
      <w:r>
        <w:t xml:space="preserve">the last coupon date; it is identical to Equation 2 but is not the same as</w:t>
      </w:r>
      <w:r>
        <w:t xml:space="preserve"> </w:t>
      </w:r>
      <m:oMath>
        <m:r>
          <m:t>P</m:t>
        </m:r>
        <m:sSup>
          <m:e>
            <m:r>
              <m:t>V</m:t>
            </m:r>
          </m:e>
          <m:sup>
            <m:r>
              <m:t>F</m:t>
            </m:r>
            <m:r>
              <m:t>l</m:t>
            </m:r>
            <m:r>
              <m:t>a</m:t>
            </m:r>
            <m:r>
              <m:t>t</m:t>
            </m:r>
          </m:sup>
        </m:sSup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6: Fixed-Income Bond Valuation: Prices and Yields</dc:title>
  <dc:creator/>
  <cp:keywords/>
  <dcterms:created xsi:type="dcterms:W3CDTF">2026-03-12T21:49:58Z</dcterms:created>
  <dcterms:modified xsi:type="dcterms:W3CDTF">2026-03-12T21:49:58Z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