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4: Fixed-Income Markets for Corporate Issuers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initial-margin"/>
    <w:p>
      <w:pPr>
        <w:pStyle w:val="Heading3"/>
      </w:pPr>
      <w:r>
        <w:t xml:space="preserve">Initial Margin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Initial Margin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Security Price</m:t>
                  </m:r>
                </m:e>
                <m:sub>
                  <m:r>
                    <m:t>0</m:t>
                  </m:r>
                </m:sub>
              </m:sSub>
            </m:num>
            <m:den>
              <m:sSub>
                <m:e>
                  <m:r>
                    <m:rPr>
                      <m:nor/>
                      <m:sty m:val="p"/>
                    </m:rPr>
                    <m:t>Purchase Price</m:t>
                  </m:r>
                </m:e>
                <m:sub>
                  <m:r>
                    <m:t>0</m:t>
                  </m:r>
                </m:sub>
              </m:sSub>
            </m:den>
          </m:f>
        </m:oMath>
      </m:oMathPara>
    </w:p>
    <w:p>
      <w:pPr>
        <w:pStyle w:val="Compact"/>
        <w:numPr>
          <w:ilvl w:val="0"/>
          <w:numId w:val="1001"/>
        </w:numPr>
      </w:pPr>
      <w:r>
        <w:t xml:space="preserve">Feature designed to reduce the risk of a collateral shortfall over the</w:t>
      </w:r>
      <w:r>
        <w:t xml:space="preserve"> </w:t>
      </w:r>
      <w:r>
        <w:t xml:space="preserve">contract life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The feature initial margin is known as the provision of collateral in excess</w:t>
      </w:r>
      <w:r>
        <w:t xml:space="preserve"> </w:t>
      </w:r>
      <w:r>
        <w:t xml:space="preserve">of the cash exchanged</w:t>
      </w:r>
    </w:p>
    <w:p>
      <w:r>
        <w:pict>
          <v:rect style="width:0;height:1.5pt" o:hralign="center" o:hrstd="t" o:hr="t"/>
        </w:pict>
      </w:r>
    </w:p>
    <w:bookmarkEnd w:id="20"/>
    <w:bookmarkStart w:id="21" w:name="haircut"/>
    <w:p>
      <w:pPr>
        <w:pStyle w:val="Heading3"/>
      </w:pPr>
      <w:r>
        <w:t xml:space="preserve">Haircut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Haircut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Security Price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rPr>
                      <m:nor/>
                      <m:sty m:val="p"/>
                    </m:rPr>
                    <m:t>Purchase Price</m:t>
                  </m:r>
                </m:e>
                <m:sub>
                  <m:r>
                    <m:t>0</m:t>
                  </m:r>
                </m:sub>
              </m:sSub>
            </m:num>
            <m:den>
              <m:sSub>
                <m:e>
                  <m:r>
                    <m:rPr>
                      <m:nor/>
                      <m:sty m:val="p"/>
                    </m:rPr>
                    <m:t>Security Price</m:t>
                  </m:r>
                </m:e>
                <m:sub>
                  <m:r>
                    <m:t>0</m:t>
                  </m:r>
                </m:sub>
              </m:sSub>
            </m:den>
          </m:f>
        </m:oMath>
      </m:oMathPara>
    </w:p>
    <w:p>
      <w:pPr>
        <w:pStyle w:val="Compact"/>
        <w:numPr>
          <w:ilvl w:val="0"/>
          <w:numId w:val="1002"/>
        </w:numPr>
      </w:pPr>
      <w:r>
        <w:t xml:space="preserve">A 100% initial margin indicates a fully collateralized loan, while a higher</w:t>
      </w:r>
      <w:r>
        <w:t xml:space="preserve"> </w:t>
      </w:r>
      <w:r>
        <w:t xml:space="preserve">margin indicates even greater initial collateral protection. This is</w:t>
      </w:r>
      <w:r>
        <w:t xml:space="preserve"> </w:t>
      </w:r>
      <w:r>
        <w:t xml:space="preserve">alternatively considered a reduction or haircut of the underlying loan</w:t>
      </w:r>
      <w:r>
        <w:t xml:space="preserve"> </w:t>
      </w:r>
      <w:r>
        <w:t xml:space="preserve">relative to the initial collateral value as shown in formula 2</w:t>
      </w:r>
    </w:p>
    <w:p>
      <w:r>
        <w:pict>
          <v:rect style="width:0;height:1.5pt" o:hralign="center" o:hrstd="t" o:hr="t"/>
        </w:pict>
      </w:r>
    </w:p>
    <w:bookmarkEnd w:id="21"/>
    <w:bookmarkStart w:id="22" w:name="variation-margin"/>
    <w:p>
      <w:pPr>
        <w:pStyle w:val="Heading3"/>
      </w:pPr>
      <w:r>
        <w:t xml:space="preserve">Variation Margin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Variation Margin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nor/>
                  <m:sty m:val="p"/>
                </m:rPr>
                <m:t>Initial Margin</m:t>
              </m:r>
              <m:r>
                <m:rPr>
                  <m:sty m:val="p"/>
                </m:rPr>
                <m:t>×</m:t>
              </m:r>
              <m:sSub>
                <m:e>
                  <m:r>
                    <m:rPr>
                      <m:nor/>
                      <m:sty m:val="p"/>
                    </m:rPr>
                    <m:t>Purchases price</m:t>
                  </m:r>
                </m:e>
                <m:sub>
                  <m:r>
                    <m:t>t</m:t>
                  </m:r>
                </m:sub>
              </m:sSub>
            </m:e>
          </m:d>
          <m:r>
            <m:rPr>
              <m:sty m:val="p"/>
            </m:rPr>
            <m:t>−</m:t>
          </m:r>
          <m:sSub>
            <m:e>
              <m:r>
                <m:rPr>
                  <m:nor/>
                  <m:sty m:val="p"/>
                </m:rPr>
                <m:t>Security Price</m:t>
              </m:r>
            </m:e>
            <m:sub>
              <m:r>
                <m:t>t</m:t>
              </m:r>
            </m:sub>
          </m:sSub>
        </m:oMath>
      </m:oMathPara>
    </w:p>
    <w:p>
      <w:pPr>
        <w:pStyle w:val="Compact"/>
        <w:numPr>
          <w:ilvl w:val="0"/>
          <w:numId w:val="1003"/>
        </w:numPr>
      </w:pPr>
      <w:r>
        <w:t xml:space="preserve">Repos address collateral value changes by granting contract participants the</w:t>
      </w:r>
      <w:r>
        <w:t xml:space="preserve"> </w:t>
      </w:r>
      <w:r>
        <w:t xml:space="preserve">right to request additional collateral (or release existing collateral) to</w:t>
      </w:r>
      <w:r>
        <w:t xml:space="preserve"> </w:t>
      </w:r>
      <w:r>
        <w:t xml:space="preserve">maintain a security interest equal to the original initial margin terms.</w:t>
      </w:r>
      <w:r>
        <w:t xml:space="preserve"> </w:t>
      </w:r>
      <w:r>
        <w:t xml:space="preserve">This variable margin payment (referred to as variation margin)</w:t>
      </w:r>
    </w:p>
    <w:p>
      <w:r>
        <w:pict>
          <v:rect style="width:0;height:1.5pt" o:hralign="center" o:hrstd="t" o:hr="t"/>
        </w:pic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4: Fixed-Income Markets for Corporate Issuers</dc:title>
  <dc:creator/>
  <cp:keywords/>
  <dcterms:created xsi:type="dcterms:W3CDTF">2026-03-12T21:49:57Z</dcterms:created>
  <dcterms:modified xsi:type="dcterms:W3CDTF">2026-03-12T21:49:57Z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