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2: Fixed-Income Cash Flows and Types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2" w:name="fully-amortizing-loan"/>
    <w:p>
      <w:pPr>
        <w:pStyle w:val="Heading2"/>
      </w:pPr>
      <w:r>
        <w:t xml:space="preserve">Fully Amortizing Loan</w:t>
      </w:r>
    </w:p>
    <w:p>
      <w:pPr>
        <w:pStyle w:val="FirstParagraph"/>
      </w:pPr>
      <m:oMathPara>
        <m:oMathParaPr>
          <m:jc m:val="center"/>
        </m:oMathParaPr>
        <m:oMath>
          <m:r>
            <m:t>A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r</m:t>
              </m:r>
              <m:r>
                <m:rPr>
                  <m:sty m:val="p"/>
                </m:rPr>
                <m:t>×</m:t>
              </m:r>
              <m:r>
                <m:rPr>
                  <m:nor/>
                  <m:sty m:val="p"/>
                </m:rPr>
                <m:t> Principal </m:t>
              </m:r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r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N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r>
          <m:t>A</m:t>
        </m:r>
        <m:r>
          <m:rPr>
            <m:sty m:val="p"/>
          </m:rPr>
          <m:t>=</m:t>
        </m:r>
      </m:oMath>
      <w:r>
        <w:t xml:space="preserve"> </w:t>
      </w:r>
      <w:r>
        <w:t xml:space="preserve">Periodic payment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r</m:t>
        </m:r>
        <m:r>
          <m:rPr>
            <m:sty m:val="p"/>
          </m:rPr>
          <m:t>=</m:t>
        </m:r>
      </m:oMath>
      <w:r>
        <w:t xml:space="preserve"> </w:t>
      </w:r>
      <w:r>
        <w:t xml:space="preserve">Market interest rate per period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Principal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Principal amount of loan or bond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N</m:t>
        </m:r>
        <m:r>
          <m:rPr>
            <m:sty m:val="p"/>
          </m:rPr>
          <m:t>=</m:t>
        </m:r>
      </m:oMath>
      <w:r>
        <w:t xml:space="preserve"> </w:t>
      </w:r>
      <w:r>
        <w:t xml:space="preserve">Number of payment periods</w:t>
      </w:r>
    </w:p>
    <w:p>
      <w:r>
        <w:pict>
          <v:rect style="width:0;height:1.5pt" o:hralign="center" o:hrstd="t" o:hr="t"/>
        </w:pict>
      </w:r>
    </w:p>
    <w:bookmarkStart w:id="20" w:name="conversion-ratio"/>
    <w:p>
      <w:pPr>
        <w:pStyle w:val="Heading3"/>
      </w:pPr>
      <w:r>
        <w:t xml:space="preserve">Conversion Ratio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Conversion Ratio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Convertible Bond Par</m:t>
              </m:r>
            </m:num>
            <m:den>
              <m:r>
                <m:rPr>
                  <m:nor/>
                  <m:sty m:val="p"/>
                </m:rPr>
                <m:t>Conversion Price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w:r>
        <w:t xml:space="preserve">The conversion ratio represents the number of common shares a bond may be</w:t>
      </w:r>
      <w:r>
        <w:t xml:space="preserve"> </w:t>
      </w:r>
      <w:r>
        <w:t xml:space="preserve">converted into for a specific par value.</w:t>
      </w:r>
    </w:p>
    <w:p>
      <w:r>
        <w:pict>
          <v:rect style="width:0;height:1.5pt" o:hralign="center" o:hrstd="t" o:hr="t"/>
        </w:pict>
      </w:r>
    </w:p>
    <w:bookmarkEnd w:id="20"/>
    <w:bookmarkStart w:id="21" w:name="conversion-value"/>
    <w:p>
      <w:pPr>
        <w:pStyle w:val="Heading3"/>
      </w:pPr>
      <w:r>
        <w:t xml:space="preserve">Conversion Value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Conversion Value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Conversion Ratio</m:t>
          </m:r>
          <m:r>
            <m:rPr>
              <m:sty m:val="p"/>
            </m:rPr>
            <m:t>×</m:t>
          </m:r>
          <m:r>
            <m:rPr>
              <m:nor/>
              <m:sty m:val="p"/>
            </m:rPr>
            <m:t>Current Share Price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w:r>
        <w:t xml:space="preserve">The conversion value is one way to estimate the value of the conversion</w:t>
      </w:r>
      <w:r>
        <w:t xml:space="preserve"> </w:t>
      </w:r>
      <w:r>
        <w:t xml:space="preserve">feature at any time is to compare the convertible bond’s price with its</w:t>
      </w:r>
      <w:r>
        <w:t xml:space="preserve"> </w:t>
      </w:r>
      <w:r>
        <w:t xml:space="preserve">value if the bondholder were to convert the bonds today.</w:t>
      </w:r>
    </w:p>
    <w:p>
      <w:r>
        <w:pict>
          <v:rect style="width:0;height:1.5pt" o:hralign="center" o:hrstd="t" o:hr="t"/>
        </w:pic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2: Fixed-Income Cash Flows and Types</dc:title>
  <dc:creator/>
  <cp:keywords/>
  <dcterms:created xsi:type="dcterms:W3CDTF">2026-03-12T21:49:55Z</dcterms:created>
  <dcterms:modified xsi:type="dcterms:W3CDTF">2026-03-12T21:49:55Z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