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19: Mortgage-Backed Security (MBS) Instrument and Market Features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loan-to-value-ratio-ltv"/>
    <w:p>
      <w:pPr>
        <w:pStyle w:val="Heading3"/>
      </w:pPr>
      <w:r>
        <w:t xml:space="preserve">Loan-to-Value Ratio (LTV)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LTV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Loan Amount</m:t>
              </m:r>
            </m:num>
            <m:den>
              <m:r>
                <m:rPr>
                  <m:nor/>
                  <m:sty m:val="p"/>
                </m:rPr>
                <m:t>House Price</m:t>
              </m:r>
            </m:den>
          </m:f>
        </m:oMath>
      </m:oMathPara>
    </w:p>
    <w:p>
      <w:pPr>
        <w:pStyle w:val="Compact"/>
        <w:numPr>
          <w:ilvl w:val="0"/>
          <w:numId w:val="1001"/>
        </w:numPr>
      </w:pPr>
      <w:r>
        <w:t xml:space="preserve">The ratio of the amount of the mortgage to the property’s value is called</w:t>
      </w:r>
      <w:r>
        <w:t xml:space="preserve"> </w:t>
      </w:r>
      <w:r>
        <w:t xml:space="preserve">the loan-to-value ratio (LTV)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The lower the LTV, the higher the borrower’s equity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From the lender’s perspective, the higher the borrower’s equity, the less</w:t>
      </w:r>
      <w:r>
        <w:t xml:space="preserve"> </w:t>
      </w:r>
      <w:r>
        <w:t xml:space="preserve">likely the borrower is to default.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the lower the LTV, the more protection the lender has if the borrower does</w:t>
      </w:r>
      <w:r>
        <w:t xml:space="preserve"> </w:t>
      </w:r>
      <w:r>
        <w:t xml:space="preserve">default and the lender repossesses and sells the property.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When the loan is first taken out, the borrower’s equity in the property is</w:t>
      </w:r>
      <w:r>
        <w:t xml:space="preserve"> </w:t>
      </w:r>
      <w:r>
        <w:t xml:space="preserve">equal to the down payment. Over time, the LTV changes: As the borrower</w:t>
      </w:r>
      <w:r>
        <w:t xml:space="preserve"> </w:t>
      </w:r>
      <w:r>
        <w:t xml:space="preserve">makes mortgage payments, including principal repayments, the outstanding</w:t>
      </w:r>
      <w:r>
        <w:t xml:space="preserve"> </w:t>
      </w:r>
      <w:r>
        <w:t xml:space="preserve">balance on the loan is reduced and as the market value of the property</w:t>
      </w:r>
      <w:r>
        <w:t xml:space="preserve"> </w:t>
      </w:r>
      <w:r>
        <w:t xml:space="preserve">changes, the borrower’s equity also changes. LTV serves as a key measure</w:t>
      </w:r>
      <w:r>
        <w:t xml:space="preserve"> </w:t>
      </w:r>
      <w:r>
        <w:t xml:space="preserve">both in residential and commercial mortgages.</w:t>
      </w:r>
    </w:p>
    <w:p>
      <w:r>
        <w:pict>
          <v:rect style="width:0;height:1.5pt" o:hralign="center" o:hrstd="t" o:hr="t"/>
        </w:pict>
      </w:r>
    </w:p>
    <w:bookmarkEnd w:id="20"/>
    <w:bookmarkStart w:id="21" w:name="debt-to-income-ratio-dti"/>
    <w:p>
      <w:pPr>
        <w:pStyle w:val="Heading3"/>
      </w:pPr>
      <w:r>
        <w:t xml:space="preserve">Debt-to-Income Ratio (DTI)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TI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Monthly Debt Payment</m:t>
              </m:r>
            </m:num>
            <m:den>
              <m:r>
                <m:rPr>
                  <m:nor/>
                  <m:sty m:val="p"/>
                </m:rPr>
                <m:t>Monthly Pre - Tax Gross Income</m:t>
              </m:r>
            </m:den>
          </m:f>
        </m:oMath>
      </m:oMathPara>
    </w:p>
    <w:p>
      <w:pPr>
        <w:pStyle w:val="Compact"/>
        <w:numPr>
          <w:ilvl w:val="0"/>
          <w:numId w:val="1002"/>
        </w:numPr>
      </w:pPr>
      <w:r>
        <w:t xml:space="preserve">The capacity to sustain debt payments is another consideration. For</w:t>
      </w:r>
      <w:r>
        <w:t xml:space="preserve"> </w:t>
      </w:r>
      <w:r>
        <w:t xml:space="preserve">residential lending, the metric is the debt-to-income ratio (DTI), which</w:t>
      </w:r>
      <w:r>
        <w:t xml:space="preserve"> </w:t>
      </w:r>
      <w:r>
        <w:t xml:space="preserve">compares an individual’s monthly debt payments to their monthly pre-tax,</w:t>
      </w:r>
      <w:r>
        <w:t xml:space="preserve"> </w:t>
      </w:r>
      <w:r>
        <w:t xml:space="preserve">gross income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Lenders, including mortgage lenders, use the DTI to measure an individual’s</w:t>
      </w:r>
      <w:r>
        <w:t xml:space="preserve"> </w:t>
      </w:r>
      <w:r>
        <w:t xml:space="preserve">ability to manage monthly payments and repay debts.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A low DTI shows a balance between income and debt and suggests that the</w:t>
      </w:r>
      <w:r>
        <w:t xml:space="preserve"> </w:t>
      </w:r>
      <w:r>
        <w:t xml:space="preserve">borrower could sustain additional debt.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A high DTI ratio signals that the borrower may carry too much debt for the</w:t>
      </w:r>
      <w:r>
        <w:t xml:space="preserve"> </w:t>
      </w:r>
      <w:r>
        <w:t xml:space="preserve">amount of income earned each month.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Typically, lenders want to see low DTI ratios before extending loans to a</w:t>
      </w:r>
      <w:r>
        <w:t xml:space="preserve"> </w:t>
      </w:r>
      <w:r>
        <w:t xml:space="preserve">potential borrower.</w:t>
      </w:r>
    </w:p>
    <w:p>
      <w:r>
        <w:pict>
          <v:rect style="width:0;height:1.5pt" o:hralign="center" o:hrstd="t" o:hr="t"/>
        </w:pict>
      </w:r>
    </w:p>
    <w:bookmarkEnd w:id="21"/>
    <w:bookmarkStart w:id="22" w:name="weighted-average-coupon-rate-wac"/>
    <w:p>
      <w:pPr>
        <w:pStyle w:val="Heading3"/>
      </w:pPr>
      <w:r>
        <w:t xml:space="preserve">Weighted Average Coupon Rate (WAC)</w:t>
      </w:r>
    </w:p>
    <w:p>
      <w:pPr>
        <w:pStyle w:val="FirstParagraph"/>
      </w:pPr>
      <m:oMathPara>
        <m:oMathParaPr>
          <m:jc m:val="center"/>
        </m:oMathParaPr>
        <m:oMath>
          <m:r>
            <m:t>W</m:t>
          </m:r>
          <m:r>
            <m:t>A</m:t>
          </m:r>
          <m:r>
            <m:t>C</m:t>
          </m:r>
          <m:r>
            <m:rPr>
              <m:sty m:val="p"/>
            </m:rPr>
            <m:t>=</m:t>
          </m:r>
          <m:sSub>
            <m:e>
              <m:r>
                <m:t>i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A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sSub>
            <m:e>
              <m:r>
                <m:t>i</m:t>
              </m:r>
            </m:e>
            <m:sub>
              <m:r>
                <m:t>B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B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sSub>
            <m:e>
              <m:r>
                <m:t>i</m:t>
              </m:r>
            </m:e>
            <m:sub>
              <m:r>
                <m:t>C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C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sSub>
            <m:e>
              <m:r>
                <m:t>i</m:t>
              </m:r>
            </m:e>
            <m:sub>
              <m:r>
                <m:t>D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D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sSub>
            <m:e>
              <m:r>
                <m:t>i</m:t>
              </m:r>
            </m:e>
            <m:sub>
              <m:r>
                <m:t>E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E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r>
          <m:t>i</m:t>
        </m:r>
      </m:oMath>
      <w:r>
        <w:t xml:space="preserve">: Interest Rate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B</m:t>
        </m:r>
        <m:r>
          <m:t>B</m:t>
        </m:r>
      </m:oMath>
      <w:r>
        <w:t xml:space="preserve">: Beginning Balance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C</m:t>
        </m:r>
        <m:r>
          <m:t>B</m:t>
        </m:r>
      </m:oMath>
      <w:r>
        <w:t xml:space="preserve">: Current Balance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M</m:t>
        </m:r>
        <m:r>
          <m:t>M</m:t>
        </m:r>
      </m:oMath>
      <w:r>
        <w:t xml:space="preserve">: Number of Months to Maturity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The WAC is calculated by weighting the mortgage rate of each mortgage in</w:t>
      </w:r>
      <w:r>
        <w:t xml:space="preserve"> </w:t>
      </w:r>
      <w:r>
        <w:t xml:space="preserve">the pool by the percentage of the outstanding mortgage balance relative to</w:t>
      </w:r>
      <w:r>
        <w:t xml:space="preserve"> </w:t>
      </w:r>
      <w:r>
        <w:t xml:space="preserve">the outstanding amount of all the mortgages in the pool.</w:t>
      </w:r>
    </w:p>
    <w:p>
      <w:r>
        <w:pict>
          <v:rect style="width:0;height:1.5pt" o:hralign="center" o:hrstd="t" o:hr="t"/>
        </w:pict>
      </w:r>
    </w:p>
    <w:bookmarkEnd w:id="22"/>
    <w:bookmarkStart w:id="23" w:name="weighted-average-maturity-wam"/>
    <w:p>
      <w:pPr>
        <w:pStyle w:val="Heading3"/>
      </w:pPr>
      <w:r>
        <w:t xml:space="preserve">Weighted Average Maturity (WAM)</w:t>
      </w:r>
    </w:p>
    <w:p>
      <w:pPr>
        <w:pStyle w:val="FirstParagraph"/>
      </w:pPr>
      <m:oMathPara>
        <m:oMathParaPr>
          <m:jc m:val="center"/>
        </m:oMathParaPr>
        <m:oMath>
          <m:r>
            <m:t>W</m:t>
          </m:r>
          <m:r>
            <m:t>A</m:t>
          </m:r>
          <m:r>
            <m:t>M</m:t>
          </m:r>
          <m:r>
            <m:rPr>
              <m:sty m:val="p"/>
            </m:rPr>
            <m:t>=</m:t>
          </m:r>
          <m:r>
            <m:t>M</m:t>
          </m:r>
          <m:sSub>
            <m:e>
              <m:r>
                <m:t>M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A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r>
            <m:t>M</m:t>
          </m:r>
          <m:sSub>
            <m:e>
              <m:r>
                <m:t>M</m:t>
              </m:r>
            </m:e>
            <m:sub>
              <m:r>
                <m:t>B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B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  <m:r>
            <m:rPr>
              <m:sty m:val="p"/>
            </m:rPr>
            <m:t>+</m:t>
          </m:r>
          <m:r>
            <m:t>M</m:t>
          </m:r>
          <m:sSub>
            <m:e>
              <m:r>
                <m:t>M</m:t>
              </m:r>
            </m:e>
            <m:sub>
              <m:r>
                <m:t>C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B</m:t>
                      </m:r>
                    </m:e>
                    <m:sub>
                      <m:r>
                        <m:t>C</m:t>
                      </m:r>
                    </m:sub>
                  </m:sSub>
                </m:num>
                <m:den>
                  <m:limLow>
                    <m:e>
                      <m:r>
                        <m:rPr>
                          <m:sty m:val="p"/>
                        </m:rPr>
                        <m:t>∑</m:t>
                      </m:r>
                    </m:e>
                    <m:lim>
                      <m:r>
                        <m:t>C</m:t>
                      </m:r>
                      <m:r>
                        <m:t>B</m:t>
                      </m:r>
                    </m:lim>
                  </m:limLow>
                </m:den>
              </m:f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i</m:t>
        </m:r>
      </m:oMath>
      <w:r>
        <w:t xml:space="preserve">: Interest Rate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B</m:t>
        </m:r>
        <m:r>
          <m:t>B</m:t>
        </m:r>
      </m:oMath>
      <w:r>
        <w:t xml:space="preserve">: Beginning Balance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C</m:t>
        </m:r>
        <m:r>
          <m:t>B</m:t>
        </m:r>
      </m:oMath>
      <w:r>
        <w:t xml:space="preserve">: Current Balance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M</m:t>
        </m:r>
        <m:r>
          <m:t>M</m:t>
        </m:r>
      </m:oMath>
      <w:r>
        <w:t xml:space="preserve">: Number of Months to Maturity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the WAM is calculated by weighting the remaining number of months to</w:t>
      </w:r>
      <w:r>
        <w:t xml:space="preserve"> </w:t>
      </w:r>
      <w:r>
        <w:t xml:space="preserve">maturity of each mortgage in the pool by the outstanding mortgage balance</w:t>
      </w:r>
      <w:r>
        <w:t xml:space="preserve"> </w:t>
      </w:r>
      <w:r>
        <w:t xml:space="preserve">relative to the outstanding amount of all the mortgages in the pool.</w:t>
      </w:r>
    </w:p>
    <w:p>
      <w:r>
        <w:pict>
          <v:rect style="width:0;height:1.5pt" o:hralign="center" o:hrstd="t" o:hr="t"/>
        </w:pict>
      </w:r>
    </w:p>
    <w:bookmarkEnd w:id="23"/>
    <w:bookmarkStart w:id="24" w:name="debt-service-coverage-ratio-dscr"/>
    <w:p>
      <w:pPr>
        <w:pStyle w:val="Heading3"/>
      </w:pPr>
      <w:r>
        <w:t xml:space="preserve">Debt Service Coverage Ratio (DSCR)</w:t>
      </w:r>
    </w:p>
    <w:p>
      <w:pPr>
        <w:pStyle w:val="FirstParagraph"/>
      </w:pPr>
      <w:r>
        <w:t xml:space="preserve">DSCR or DSC Ratio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DSC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Operating Income</m:t>
              </m:r>
            </m:num>
            <m:den>
              <m:r>
                <m:rPr>
                  <m:nor/>
                  <m:sty m:val="p"/>
                </m:rPr>
                <m:t>Debt Service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24"/>
    <w:bookmarkStart w:id="25" w:name="net-operating-income-noi"/>
    <w:p>
      <w:pPr>
        <w:pStyle w:val="Heading3"/>
      </w:pPr>
      <w:r>
        <w:t xml:space="preserve">Net Operating Income (NOI)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NOI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Rental Income 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 Cash Operating Expense</m:t>
              </m:r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Replacement reserves</m:t>
          </m:r>
        </m:oMath>
      </m:oMathPara>
    </w:p>
    <w:p>
      <w:pPr>
        <w:pStyle w:val="Compact"/>
        <w:numPr>
          <w:ilvl w:val="0"/>
          <w:numId w:val="1005"/>
        </w:numPr>
      </w:pPr>
      <w:r>
        <w:t xml:space="preserve">NOI is defined as the rental income reduced by cash operating expenses and</w:t>
      </w:r>
      <w:r>
        <w:t xml:space="preserve"> </w:t>
      </w:r>
      <w:r>
        <w:t xml:space="preserve">a non-cash replacement reserve reflecting the depreciation of the property</w:t>
      </w:r>
      <w:r>
        <w:t xml:space="preserve"> </w:t>
      </w:r>
      <w:r>
        <w:t xml:space="preserve">over time.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NOI excludes principal and interest payments on loans, capital expenditures,</w:t>
      </w:r>
      <w:r>
        <w:t xml:space="preserve"> </w:t>
      </w:r>
      <w:r>
        <w:t xml:space="preserve">depreciation, and amortization.</w:t>
      </w:r>
    </w:p>
    <w:p>
      <w:r>
        <w:pict>
          <v:rect style="width:0;height:1.5pt" o:hralign="center" o:hrstd="t" o:hr="t"/>
        </w:pic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19: Mortgage-Backed Security (MBS) Instrument and Market Features</dc:title>
  <dc:creator/>
  <cp:keywords/>
  <dcterms:created xsi:type="dcterms:W3CDTF">2026-03-12T21:50:11Z</dcterms:created>
  <dcterms:modified xsi:type="dcterms:W3CDTF">2026-03-12T21:50:11Z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