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Learning Module 16: Credit Analysis for Corporate Issuers</w:t>
      </w:r>
    </w:p>
    <w:p>
      <w:pPr>
        <w:pStyle w:val="Subtitle"/>
      </w:pPr>
      <w:r>
        <w:t xml:space="preserve">Fixed Income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16" w:after="16"/>
            </w:pPr>
            <w:r>
              <w:t xml:space="preserve">Download Files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Download PDF</w:t>
            </w:r>
            <w:r>
              <w:t xml:space="preserve"> </w:t>
            </w:r>
            <w:r>
              <w:t xml:space="preserve">|</w:t>
            </w:r>
            <w:r>
              <w:t xml:space="preserve"> </w:t>
            </w:r>
            <w:r>
              <w:t xml:space="preserve">Download Word</w:t>
            </w:r>
            <w:r>
              <w:t xml:space="preserve"> </w:t>
            </w:r>
            <w:r>
              <w:t xml:space="preserve">|</w:t>
            </w:r>
          </w:p>
          <w:p/>
        </w:tc>
      </w:tr>
    </w:tbl>
    <w:p>
      <w:r>
        <w:pict>
          <v:rect style="width:0;height:1.5pt" o:hralign="center" o:hrstd="t" o:hr="t"/>
        </w:pict>
      </w:r>
    </w:p>
    <w:bookmarkStart w:id="20" w:name="ebit-margin"/>
    <w:p>
      <w:pPr>
        <w:pStyle w:val="Heading3"/>
      </w:pPr>
      <w:r>
        <w:t xml:space="preserve">EBIT Margin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EBIT Margin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Operating Income</m:t>
              </m:r>
            </m:num>
            <m:den>
              <m:r>
                <m:rPr>
                  <m:nor/>
                  <m:sty m:val="p"/>
                </m:rPr>
                <m:t>Revenue</m:t>
              </m:r>
            </m:den>
          </m:f>
        </m:oMath>
      </m:oMathPara>
    </w:p>
    <w:p>
      <w:pPr>
        <w:pStyle w:val="Compact"/>
        <w:numPr>
          <w:ilvl w:val="0"/>
          <w:numId w:val="1001"/>
        </w:numPr>
      </w:pPr>
      <w:r>
        <w:t xml:space="preserve">Credit analysts focus on EBIT (earnings before interest and taxes) to</w:t>
      </w:r>
      <w:r>
        <w:t xml:space="preserve"> </w:t>
      </w:r>
      <w:r>
        <w:t xml:space="preserve">determine a company’s operating performance prior to capital costs and taxes,</w:t>
      </w:r>
      <w:r>
        <w:t xml:space="preserve"> </w:t>
      </w:r>
      <w:r>
        <w:t xml:space="preserve">since interest expense is paid before income taxes are calculated. In some</w:t>
      </w:r>
      <w:r>
        <w:t xml:space="preserve"> </w:t>
      </w:r>
      <w:r>
        <w:t xml:space="preserve">cases, EBITDA (or earnings before interest, taxes, depreciation, and</w:t>
      </w:r>
      <w:r>
        <w:t xml:space="preserve"> </w:t>
      </w:r>
      <w:r>
        <w:t xml:space="preserve">amortization expense) is used as a broader measure, which adds back</w:t>
      </w:r>
      <w:r>
        <w:t xml:space="preserve"> </w:t>
      </w:r>
      <w:r>
        <w:t xml:space="preserve">(non-cash) depreciation and amortization expense. Higher EBIT margins</w:t>
      </w:r>
      <w:r>
        <w:t xml:space="preserve"> </w:t>
      </w:r>
      <w:r>
        <w:t xml:space="preserve">increase profits available to service debt.</w:t>
      </w:r>
    </w:p>
    <w:p>
      <w:r>
        <w:pict>
          <v:rect style="width:0;height:1.5pt" o:hralign="center" o:hrstd="t" o:hr="t"/>
        </w:pict>
      </w:r>
    </w:p>
    <w:bookmarkEnd w:id="20"/>
    <w:bookmarkStart w:id="21" w:name="ebit-to-interest-expense"/>
    <w:p>
      <w:pPr>
        <w:pStyle w:val="Heading3"/>
      </w:pPr>
      <w:r>
        <w:t xml:space="preserve">EBIT to Interest Expense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EBIT to Interest Expense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Operating Income</m:t>
              </m:r>
            </m:num>
            <m:den>
              <m:r>
                <m:rPr>
                  <m:nor/>
                  <m:sty m:val="p"/>
                </m:rPr>
                <m:t>Interest Expense</m:t>
              </m:r>
            </m:den>
          </m:f>
        </m:oMath>
      </m:oMathPara>
    </w:p>
    <w:p>
      <w:pPr>
        <w:pStyle w:val="Compact"/>
        <w:numPr>
          <w:ilvl w:val="0"/>
          <w:numId w:val="1002"/>
        </w:numPr>
      </w:pPr>
      <w:r>
        <w:t xml:space="preserve">This measures the degree to which operating profit covers periodic interest</w:t>
      </w:r>
      <w:r>
        <w:t xml:space="preserve"> </w:t>
      </w:r>
      <w:r>
        <w:t xml:space="preserve">payments, with a higher coverage ratio representing less credit risk. In</w:t>
      </w:r>
      <w:r>
        <w:t xml:space="preserve"> </w:t>
      </w:r>
      <w:r>
        <w:t xml:space="preserve">some cases, the numerator is changed to include depreciation and amortization</w:t>
      </w:r>
      <w:r>
        <w:t xml:space="preserve"> </w:t>
      </w:r>
      <w:r>
        <w:t xml:space="preserve">(EBITDA) as well as rental expense (EBITDAR), while the denominator may be</w:t>
      </w:r>
      <w:r>
        <w:t xml:space="preserve"> </w:t>
      </w:r>
      <w:r>
        <w:t xml:space="preserve">increased to include lease payments or reduced by interest earned on</w:t>
      </w:r>
      <w:r>
        <w:t xml:space="preserve"> </w:t>
      </w:r>
      <w:r>
        <w:t xml:space="preserve">marketable securities and cash.</w:t>
      </w:r>
    </w:p>
    <w:p>
      <w:r>
        <w:pict>
          <v:rect style="width:0;height:1.5pt" o:hralign="center" o:hrstd="t" o:hr="t"/>
        </w:pict>
      </w:r>
    </w:p>
    <w:bookmarkEnd w:id="21"/>
    <w:bookmarkStart w:id="22" w:name="debt-to-ebitda"/>
    <w:p>
      <w:pPr>
        <w:pStyle w:val="Heading3"/>
      </w:pPr>
      <w:r>
        <w:t xml:space="preserve">Debt to EBITDA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Debt to EBITDA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Debt</m:t>
              </m:r>
            </m:num>
            <m:den>
              <m:r>
                <m:rPr>
                  <m:nor/>
                  <m:sty m:val="p"/>
                </m:rPr>
                <m:t>EBITDA</m:t>
              </m:r>
            </m:den>
          </m:f>
        </m:oMath>
      </m:oMathPara>
    </w:p>
    <w:p>
      <w:pPr>
        <w:pStyle w:val="Compact"/>
        <w:numPr>
          <w:ilvl w:val="0"/>
          <w:numId w:val="1003"/>
        </w:numPr>
      </w:pPr>
      <w:r>
        <w:t xml:space="preserve">Leverage ratios are often expressed with debt either in the numerator or</w:t>
      </w:r>
      <w:r>
        <w:t xml:space="preserve"> </w:t>
      </w:r>
      <w:r>
        <w:t xml:space="preserve">denominator, so care must be taken to reflect whether a greater or lesser</w:t>
      </w:r>
      <w:r>
        <w:t xml:space="preserve"> </w:t>
      </w:r>
      <w:r>
        <w:t xml:space="preserve">number reflects increased leverage.</w:t>
      </w:r>
    </w:p>
    <w:p>
      <w:r>
        <w:pict>
          <v:rect style="width:0;height:1.5pt" o:hralign="center" o:hrstd="t" o:hr="t"/>
        </w:pict>
      </w:r>
    </w:p>
    <w:bookmarkEnd w:id="22"/>
    <w:bookmarkStart w:id="23" w:name="rcf-to-net-debt"/>
    <w:p>
      <w:pPr>
        <w:pStyle w:val="Heading3"/>
      </w:pPr>
      <w:r>
        <w:t xml:space="preserve">RCF to Net Debt</w:t>
      </w:r>
    </w:p>
    <w:p>
      <w:pPr>
        <w:pStyle w:val="FirstParagraph"/>
      </w:pPr>
      <m:oMathPara>
        <m:oMathParaPr>
          <m:jc m:val="center"/>
        </m:oMathParaPr>
        <m:oMath>
          <m:r>
            <m:rPr>
              <m:nor/>
              <m:sty m:val="p"/>
            </m:rPr>
            <m:t>RCF to Net Debt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rPr>
                  <m:nor/>
                  <m:sty m:val="p"/>
                </m:rPr>
                <m:t>RCF</m:t>
              </m:r>
            </m:num>
            <m:den>
              <m:r>
                <m:rPr>
                  <m:nor/>
                  <m:sty m:val="p"/>
                </m:rPr>
                <m:t>Debt - Cash and Marketable Securities</m:t>
              </m:r>
            </m:den>
          </m:f>
        </m:oMath>
      </m:oMathPara>
    </w:p>
    <w:p>
      <w:pPr>
        <w:pStyle w:val="FirstParagraph"/>
      </w:pPr>
      <w:r>
        <w:t xml:space="preserve">Where:</w:t>
      </w:r>
    </w:p>
    <w:p>
      <w:pPr>
        <w:pStyle w:val="Compact"/>
        <w:numPr>
          <w:ilvl w:val="0"/>
          <w:numId w:val="1004"/>
        </w:numPr>
      </w:pPr>
      <m:oMath>
        <m:r>
          <m:t>R</m:t>
        </m:r>
        <m:r>
          <m:t>C</m:t>
        </m:r>
        <m:r>
          <m:t>F</m:t>
        </m:r>
      </m:oMath>
      <w:r>
        <w:t xml:space="preserve">: Retained Cash Flow</w:t>
      </w:r>
    </w:p>
    <w:p>
      <w:pPr>
        <w:pStyle w:val="Compact"/>
        <w:numPr>
          <w:ilvl w:val="0"/>
          <w:numId w:val="1004"/>
        </w:numPr>
      </w:pPr>
      <w:r>
        <w:t xml:space="preserve">Use of cash flow rather than earnings measures is also common in measuring</w:t>
      </w:r>
      <w:r>
        <w:t xml:space="preserve"> </w:t>
      </w:r>
      <w:r>
        <w:t xml:space="preserve">leverage, while here the debt measure is reduced by available cash. A</w:t>
      </w:r>
      <w:r>
        <w:t xml:space="preserve"> </w:t>
      </w:r>
      <w:r>
        <w:t xml:space="preserve">higher RCF to net debt measure implies lower leverage.</w:t>
      </w:r>
    </w:p>
    <w:p>
      <w:r>
        <w:pict>
          <v:rect style="width:0;height:1.5pt" o:hralign="center" o:hrstd="t" o:hr="t"/>
        </w:pict>
      </w:r>
    </w:p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Module 16: Credit Analysis for Corporate Issuers</dc:title>
  <dc:creator/>
  <cp:keywords/>
  <dcterms:created xsi:type="dcterms:W3CDTF">2026-03-12T21:50:10Z</dcterms:created>
  <dcterms:modified xsi:type="dcterms:W3CDTF">2026-03-12T21:50:10Z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Fixed Income</vt:lpwstr>
  </property>
  <property fmtid="{D5CDD505-2E9C-101B-9397-08002B2CF9AE}" pid="8" name="toc-title">
    <vt:lpwstr>Table of contents</vt:lpwstr>
  </property>
</Properties>
</file>