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14: Credit Risk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expected-loss"/>
    <w:p>
      <w:pPr>
        <w:pStyle w:val="Heading3"/>
      </w:pPr>
      <w:r>
        <w:t xml:space="preserve">Expected Loss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EL</m:t>
          </m:r>
          <m:r>
            <m:rPr>
              <m:sty m:val="p"/>
            </m:rPr>
            <m:t>=</m:t>
          </m:r>
          <m:r>
            <m:rPr>
              <m:nor/>
              <m:sty m:val="p"/>
            </m:rPr>
            <m:t>POD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LGD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1"/>
        </w:numPr>
      </w:pPr>
      <w:r>
        <w:t xml:space="preserve">LGD =</w:t>
      </w:r>
      <w:r>
        <w:t xml:space="preserve"> </w:t>
      </w:r>
      <m:oMath>
        <m:r>
          <m:rPr>
            <m:nor/>
            <m:sty m:val="p"/>
          </m:rPr>
          <m:t>EE</m:t>
        </m:r>
        <m:r>
          <m:rPr>
            <m:sty m:val="p"/>
          </m:rPr>
          <m:t>×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rPr>
                <m:nor/>
                <m:sty m:val="p"/>
              </m:rPr>
              <m:t>RR</m:t>
            </m:r>
          </m:e>
        </m:d>
      </m:oMath>
      <w:r>
        <w:br/>
      </w:r>
    </w:p>
    <w:p>
      <w:pPr>
        <w:pStyle w:val="Compact"/>
        <w:numPr>
          <w:ilvl w:val="0"/>
          <w:numId w:val="1001"/>
        </w:numPr>
      </w:pPr>
      <w:r>
        <w:t xml:space="preserve">POD: Probability of Default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LGD: Loss given Default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EE: Expected Exposure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RR: Recovery Rate</w:t>
      </w:r>
    </w:p>
    <w:p>
      <w:r>
        <w:pict>
          <v:rect style="width:0;height:1.5pt" o:hralign="center" o:hrstd="t" o:hr="t"/>
        </w:pict>
      </w:r>
    </w:p>
    <w:bookmarkEnd w:id="20"/>
    <w:bookmarkStart w:id="21" w:name="credit-spread"/>
    <w:p>
      <w:pPr>
        <w:pStyle w:val="Heading3"/>
      </w:pPr>
      <w:r>
        <w:t xml:space="preserve">Credit Spread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Credit Spread</m:t>
          </m:r>
          <m:r>
            <m:rPr>
              <m:sty m:val="p"/>
            </m:rPr>
            <m:t>≈</m:t>
          </m:r>
          <m:r>
            <m:rPr>
              <m:nor/>
              <m:sty m:val="p"/>
            </m:rPr>
            <m:t>POD</m:t>
          </m:r>
          <m:r>
            <m:rPr>
              <m:sty m:val="p"/>
            </m:rPr>
            <m:t>×</m:t>
          </m:r>
          <m:r>
            <m:rPr>
              <m:nor/>
              <m:sty m:val="p"/>
            </m:rPr>
            <m:t>LGD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2"/>
        </w:numPr>
      </w:pPr>
      <w:r>
        <w:t xml:space="preserve">POD: Probability of Default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LGD: Loss given Default</w:t>
      </w:r>
    </w:p>
    <w:p>
      <w:r>
        <w:pict>
          <v:rect style="width:0;height:1.5pt" o:hralign="center" o:hrstd="t" o:hr="t"/>
        </w:pict>
      </w:r>
    </w:p>
    <w:bookmarkEnd w:id="21"/>
    <w:bookmarkStart w:id="22" w:name="price-impact-from-spread-changes"/>
    <w:p>
      <w:pPr>
        <w:pStyle w:val="Heading3"/>
      </w:pPr>
      <w:r>
        <w:t xml:space="preserve">Price Impact from Spread Changes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%</m:t>
          </m:r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A</m:t>
          </m:r>
          <m:r>
            <m:t>n</m:t>
          </m:r>
          <m:r>
            <m:t>n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×</m:t>
          </m:r>
          <m:r>
            <m:t>Δ</m:t>
          </m:r>
          <m:r>
            <m:t>S</m:t>
          </m:r>
          <m:r>
            <m:t>p</m:t>
          </m:r>
          <m:r>
            <m:t>r</m:t>
          </m:r>
          <m:r>
            <m:t>e</m:t>
          </m:r>
          <m:r>
            <m:t>a</m:t>
          </m:r>
          <m:r>
            <m:t>d</m:t>
          </m:r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m:oMath>
        <m:r>
          <m:t>A</m:t>
        </m:r>
        <m:r>
          <m:t>n</m:t>
        </m:r>
        <m:r>
          <m:t>n</m:t>
        </m:r>
        <m:r>
          <m:t>M</m:t>
        </m:r>
        <m:r>
          <m:t>o</m:t>
        </m:r>
        <m:r>
          <m:t>d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is the annualized modified duration</w:t>
      </w:r>
      <w:r>
        <w:br/>
      </w:r>
    </w:p>
    <w:p>
      <w:pPr>
        <w:pStyle w:val="Compact"/>
        <w:numPr>
          <w:ilvl w:val="0"/>
          <w:numId w:val="1003"/>
        </w:numPr>
      </w:pPr>
      <m:oMath>
        <m:r>
          <m:t>P</m:t>
        </m:r>
        <m:sSup>
          <m:e>
            <m:r>
              <m:t>V</m:t>
            </m:r>
          </m:e>
          <m:sup>
            <m:r>
              <m:t>F</m:t>
            </m:r>
            <m:r>
              <m:t>u</m:t>
            </m:r>
            <m:r>
              <m:t>l</m:t>
            </m:r>
            <m:r>
              <m:t>l</m:t>
            </m:r>
          </m:sup>
        </m:sSup>
      </m:oMath>
      <w:r>
        <w:t xml:space="preserve"> </w:t>
      </w:r>
      <w:r>
        <w:t xml:space="preserve">is the bond’s full price</w:t>
      </w:r>
    </w:p>
    <w:p>
      <w:r>
        <w:pict>
          <v:rect style="width:0;height:1.5pt" o:hralign="center" o:hrstd="t" o:hr="t"/>
        </w:pict>
      </w:r>
    </w:p>
    <w:bookmarkEnd w:id="22"/>
    <w:bookmarkStart w:id="23" w:name="price-impact-from-larger-spread-changes"/>
    <w:p>
      <w:pPr>
        <w:pStyle w:val="Heading3"/>
      </w:pPr>
      <w:r>
        <w:t xml:space="preserve">Price Impact from Larger Spread Changes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sty m:val="p"/>
            </m:rPr>
            <m:t>%</m:t>
          </m:r>
          <m:r>
            <m:t>Δ</m:t>
          </m:r>
          <m:r>
            <m:t>P</m:t>
          </m:r>
          <m:sSup>
            <m:e>
              <m:r>
                <m:t>V</m:t>
              </m:r>
            </m:e>
            <m:sup>
              <m:r>
                <m:t>F</m:t>
              </m:r>
              <m:r>
                <m:t>u</m:t>
              </m:r>
              <m:r>
                <m:t>l</m:t>
              </m:r>
              <m:r>
                <m:t>l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d>
            <m:dPr>
              <m:begChr m:val="("/>
              <m:sepChr m:val=""/>
              <m:endChr m:val=")"/>
              <m:grow/>
            </m:dPr>
            <m:e>
              <m:r>
                <m:t>A</m:t>
              </m:r>
              <m:r>
                <m:t>n</m:t>
              </m:r>
              <m:r>
                <m:t>n</m:t>
              </m:r>
              <m:r>
                <m:t>M</m:t>
              </m:r>
              <m:r>
                <m:t>o</m:t>
              </m:r>
              <m:r>
                <m:t>d</m:t>
              </m:r>
              <m:r>
                <m:t>D</m:t>
              </m:r>
              <m:r>
                <m:t>u</m:t>
              </m:r>
              <m:r>
                <m:t>r</m:t>
              </m:r>
              <m:r>
                <m:rPr>
                  <m:sty m:val="p"/>
                </m:rPr>
                <m:t>×</m:t>
              </m:r>
              <m:r>
                <m:t>Δ</m:t>
              </m:r>
              <m:r>
                <m:t>S</m:t>
              </m:r>
              <m:r>
                <m:t>p</m:t>
              </m:r>
              <m:r>
                <m:t>r</m:t>
              </m:r>
              <m:r>
                <m:t>e</m:t>
              </m:r>
              <m:r>
                <m:t>a</m:t>
              </m:r>
              <m:r>
                <m:t>d</m:t>
              </m:r>
            </m:e>
          </m:d>
          <m:r>
            <m:rPr>
              <m:sty m:val="p"/>
            </m:rPr>
            <m:t>+</m:t>
          </m:r>
          <m:f>
            <m:fPr>
              <m:type m:val="lin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t>A</m:t>
          </m:r>
          <m:r>
            <m:t>n</m:t>
          </m:r>
          <m:r>
            <m:t>n</m:t>
          </m:r>
          <m:r>
            <m:t>C</m:t>
          </m:r>
          <m:r>
            <m:t>o</m:t>
          </m:r>
          <m:r>
            <m:t>n</m:t>
          </m:r>
          <m:r>
            <m:t>v</m:t>
          </m:r>
          <m:r>
            <m:t>e</m:t>
          </m:r>
          <m:r>
            <m:t>x</m:t>
          </m:r>
          <m:r>
            <m:t>i</m:t>
          </m:r>
          <m:r>
            <m:t>t</m:t>
          </m:r>
          <m:r>
            <m:t>y</m:t>
          </m:r>
          <m:r>
            <m:rPr>
              <m:sty m:val="p"/>
            </m:rPr>
            <m:t>×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Δ</m:t>
                  </m:r>
                  <m:r>
                    <m:t>S</m:t>
                  </m:r>
                  <m:r>
                    <m:t>p</m:t>
                  </m:r>
                  <m:r>
                    <m:t>r</m:t>
                  </m:r>
                  <m:r>
                    <m:t>e</m:t>
                  </m:r>
                  <m:r>
                    <m:t>a</m:t>
                  </m:r>
                  <m:r>
                    <m:t>d</m:t>
                  </m:r>
                </m:e>
              </m:d>
            </m:e>
            <m:sup>
              <m:r>
                <m:t>2</m:t>
              </m:r>
            </m:sup>
          </m:sSup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A</m:t>
        </m:r>
        <m:r>
          <m:t>n</m:t>
        </m:r>
        <m:r>
          <m:t>n</m:t>
        </m:r>
        <m:r>
          <m:t>M</m:t>
        </m:r>
        <m:r>
          <m:t>o</m:t>
        </m:r>
        <m:r>
          <m:t>d</m:t>
        </m:r>
        <m:r>
          <m:t>D</m:t>
        </m:r>
        <m:r>
          <m:t>u</m:t>
        </m:r>
        <m:r>
          <m:t>r</m:t>
        </m:r>
      </m:oMath>
      <w:r>
        <w:t xml:space="preserve"> </w:t>
      </w:r>
      <w:r>
        <w:t xml:space="preserve">is the annualized modified duration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P</m:t>
        </m:r>
        <m:sSup>
          <m:e>
            <m:r>
              <m:t>V</m:t>
            </m:r>
          </m:e>
          <m:sup>
            <m:r>
              <m:t>F</m:t>
            </m:r>
            <m:r>
              <m:t>u</m:t>
            </m:r>
            <m:r>
              <m:t>l</m:t>
            </m:r>
            <m:r>
              <m:t>l</m:t>
            </m:r>
          </m:sup>
        </m:sSup>
      </m:oMath>
      <w:r>
        <w:t xml:space="preserve"> </w:t>
      </w:r>
      <w:r>
        <w:t xml:space="preserve">is the bond’s full price</w:t>
      </w:r>
      <w:r>
        <w:br/>
      </w:r>
    </w:p>
    <w:p>
      <w:pPr>
        <w:pStyle w:val="Compact"/>
        <w:numPr>
          <w:ilvl w:val="0"/>
          <w:numId w:val="1004"/>
        </w:numPr>
      </w:pPr>
      <m:oMath>
        <m:r>
          <m:t>A</m:t>
        </m:r>
        <m:r>
          <m:t>n</m:t>
        </m:r>
        <m:r>
          <m:t>n</m:t>
        </m:r>
        <m:r>
          <m:t>C</m:t>
        </m:r>
        <m:r>
          <m:t>o</m:t>
        </m:r>
        <m:r>
          <m:t>n</m:t>
        </m:r>
        <m:r>
          <m:t>v</m:t>
        </m:r>
        <m:r>
          <m:t>e</m:t>
        </m:r>
        <m:r>
          <m:t>x</m:t>
        </m:r>
        <m:r>
          <m:t>i</m:t>
        </m:r>
        <m:r>
          <m:t>t</m:t>
        </m:r>
        <m:r>
          <m:t>y</m:t>
        </m:r>
      </m:oMath>
      <w:r>
        <w:t xml:space="preserve"> </w:t>
      </w:r>
      <w:r>
        <w:t xml:space="preserve">is annualized convexity</w:t>
      </w:r>
    </w:p>
    <w:p>
      <w:r>
        <w:pict>
          <v:rect style="width:0;height:1.5pt" o:hralign="center" o:hrstd="t" o:hr="t"/>
        </w:pict>
      </w:r>
    </w:p>
    <w:bookmarkEnd w:id="23"/>
    <w:bookmarkStart w:id="24" w:name="annualized-moddur"/>
    <w:p>
      <w:pPr>
        <w:pStyle w:val="Heading3"/>
      </w:pPr>
      <w:r>
        <w:t xml:space="preserve">Annualized ModDur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t>n</m:t>
          </m:r>
          <m:r>
            <m:t>n</m:t>
          </m:r>
          <m:r>
            <m:t>u</m:t>
          </m:r>
          <m:r>
            <m:t>a</m:t>
          </m:r>
          <m:r>
            <m:t>l</m:t>
          </m:r>
          <m:r>
            <m:t>i</m:t>
          </m:r>
          <m:r>
            <m:t>z</m:t>
          </m:r>
          <m:r>
            <m:t>e</m:t>
          </m:r>
          <m:r>
            <m:t>d</m:t>
          </m:r>
          <m:r>
            <m:t> </m:t>
          </m:r>
          <m:r>
            <m:t>M</m:t>
          </m:r>
          <m:r>
            <m:t>o</m:t>
          </m:r>
          <m:r>
            <m:t>d</m:t>
          </m:r>
          <m:r>
            <m:t>D</m:t>
          </m:r>
          <m:r>
            <m:t>u</m:t>
          </m:r>
          <m:r>
            <m:t>r</m:t>
          </m:r>
          <m:r>
            <m:rPr>
              <m:sty m:val="p"/>
            </m:rPr>
            <m:t>≈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</m:num>
            <m:den>
              <m:r>
                <m:t>2</m:t>
              </m:r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Δ</m:t>
                  </m:r>
                  <m:r>
                    <m:t>Y</m:t>
                  </m:r>
                  <m:r>
                    <m:t>i</m:t>
                  </m:r>
                  <m:r>
                    <m:t>e</m:t>
                  </m:r>
                  <m:r>
                    <m:t>l</m:t>
                  </m:r>
                  <m:r>
                    <m:t>d</m:t>
                  </m:r>
                </m:e>
              </m:d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</m:oMath>
      </m:oMathPara>
    </w:p>
    <w:p>
      <w:pPr>
        <w:pStyle w:val="Compact"/>
        <w:numPr>
          <w:ilvl w:val="0"/>
          <w:numId w:val="1005"/>
        </w:numPr>
      </w:pPr>
      <w:r>
        <w:t xml:space="preserve">Here we apply the methodology from an earlier lesson to approximate modified</w:t>
      </w:r>
      <w:r>
        <w:t xml:space="preserve"> </w:t>
      </w:r>
      <w:r>
        <w:t xml:space="preserve">duration and convexity. We estimated the modified duration by increasing and</w:t>
      </w:r>
      <w:r>
        <w:t xml:space="preserve"> </w:t>
      </w:r>
      <w:r>
        <w:t xml:space="preserve">decreasing the yield-to-maturity by the same amount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Δ</m:t>
            </m:r>
            <m:r>
              <m:t>Y</m:t>
            </m:r>
            <m:r>
              <m:t>i</m:t>
            </m:r>
            <m:r>
              <m:t>e</m:t>
            </m:r>
            <m:r>
              <m:t>l</m:t>
            </m:r>
            <m:r>
              <m:t>d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w:r>
        <w:t xml:space="preserve">calculate corresponding bond prices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sSub>
          <m:e>
            <m:r>
              <m:t>V</m:t>
            </m:r>
          </m:e>
          <m:sub>
            <m:r>
              <m:rPr>
                <m:sty m:val="p"/>
              </m:rPr>
              <m:t>−</m:t>
            </m:r>
          </m:sub>
        </m:sSub>
      </m:oMath>
      <w:r>
        <w:t xml:space="preserve"> </w:t>
      </w:r>
      <w:r>
        <w:t xml:space="preserve">for a given</w:t>
      </w:r>
      <w:r>
        <w:t xml:space="preserve"> </w:t>
      </w:r>
      <w:r>
        <w:t xml:space="preserve">initial price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P</m:t>
            </m:r>
            <m:sSub>
              <m:e>
                <m:r>
                  <m:t>V</m:t>
                </m:r>
              </m:e>
              <m:sub>
                <m:r>
                  <m:t>0</m:t>
                </m:r>
              </m:sub>
            </m:sSub>
          </m:e>
        </m:d>
      </m:oMath>
      <w:r>
        <w:t xml:space="preserve">, as shown in Equation 5:</w:t>
      </w:r>
    </w:p>
    <w:p>
      <w:r>
        <w:pict>
          <v:rect style="width:0;height:1.5pt" o:hralign="center" o:hrstd="t" o:hr="t"/>
        </w:pict>
      </w:r>
    </w:p>
    <w:bookmarkEnd w:id="24"/>
    <w:bookmarkStart w:id="25" w:name="X7cbf3040488723ea0c8f15e1b4ac2aca34ac371"/>
    <w:p>
      <w:pPr>
        <w:pStyle w:val="Heading3"/>
      </w:pPr>
      <w:r>
        <w:t xml:space="preserve">Approximate Annualized Convexity (ApproxCon)</w:t>
      </w:r>
    </w:p>
    <w:p>
      <w:pPr>
        <w:pStyle w:val="FirstParagraph"/>
      </w:pPr>
      <m:oMathPara>
        <m:oMathParaPr>
          <m:jc m:val="center"/>
        </m:oMathParaPr>
        <m:oMath>
          <m:r>
            <m:t>A</m:t>
          </m:r>
          <m:r>
            <m:t>p</m:t>
          </m:r>
          <m:r>
            <m:t>p</m:t>
          </m:r>
          <m:r>
            <m:t>r</m:t>
          </m:r>
          <m:r>
            <m:t>o</m:t>
          </m:r>
          <m:r>
            <m:t>x</m:t>
          </m:r>
          <m:r>
            <m:t>C</m:t>
          </m:r>
          <m:r>
            <m:t>o</m:t>
          </m:r>
          <m:r>
            <m:t>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−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+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d>
                <m:dPr>
                  <m:begChr m:val="["/>
                  <m:sepChr m:val=""/>
                  <m:endChr m:val="]"/>
                  <m:grow/>
                </m:dPr>
                <m:e>
                  <m:r>
                    <m:t>2</m:t>
                  </m:r>
                  <m:r>
                    <m:rPr>
                      <m:sty m:val="p"/>
                    </m:rPr>
                    <m:t>×</m:t>
                  </m:r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P</m:t>
                      </m:r>
                      <m:sSub>
                        <m:e>
                          <m:r>
                            <m:t>V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</m:e>
                  </m:d>
                </m:e>
              </m:d>
            </m:num>
            <m:den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r>
                        <m:t>Δ</m:t>
                      </m:r>
                      <m:r>
                        <m:t>Y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l</m:t>
                      </m:r>
                      <m:r>
                        <m:t>d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×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P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</m:e>
              </m:d>
            </m:den>
          </m:f>
        </m:oMath>
      </m:oMathPara>
    </w:p>
    <w:p>
      <w:r>
        <w:pict>
          <v:rect style="width:0;height:1.5pt" o:hralign="center" o:hrstd="t" o:hr="t"/>
        </w:pic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14: Credit Risk</dc:title>
  <dc:creator/>
  <cp:keywords/>
  <dcterms:created xsi:type="dcterms:W3CDTF">2026-03-12T21:50:09Z</dcterms:created>
  <dcterms:modified xsi:type="dcterms:W3CDTF">2026-03-12T21:50:09Z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