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Learning Module 13: Curve-Based and Empirical Fixed-Income Risk Measures</w:t>
      </w:r>
    </w:p>
    <w:p>
      <w:pPr>
        <w:pStyle w:val="Subtitle"/>
      </w:pPr>
      <w:r>
        <w:t xml:space="preserve">Fixed Income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758E5"/>
          <w:left w:val="single" w:sz="24" w:space="0" w:color="0758E5"/>
          <w:bottom w:val="single" w:sz="4" w:space="0" w:color="0758E5"/>
          <w:right w:val="single" w:sz="4" w:space="0" w:color="0758E5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dae6fb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16" w:after="16"/>
            </w:pPr>
            <w:r>
              <w:t xml:space="preserve">Download Files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 w:after="16"/>
            </w:pPr>
            <w:r>
              <w:t xml:space="preserve">Download PDF</w:t>
            </w:r>
            <w:r>
              <w:t xml:space="preserve"> </w:t>
            </w:r>
            <w:r>
              <w:t xml:space="preserve">|</w:t>
            </w:r>
            <w:r>
              <w:t xml:space="preserve"> </w:t>
            </w:r>
            <w:r>
              <w:t xml:space="preserve">Download Word</w:t>
            </w:r>
            <w:r>
              <w:t xml:space="preserve"> </w:t>
            </w:r>
            <w:r>
              <w:t xml:space="preserve">|</w:t>
            </w:r>
          </w:p>
          <w:p/>
        </w:tc>
      </w:tr>
    </w:tbl>
    <w:p>
      <w:r>
        <w:pict>
          <v:rect style="width:0;height:1.5pt" o:hralign="center" o:hrstd="t" o:hr="t"/>
        </w:pict>
      </w:r>
    </w:p>
    <w:bookmarkStart w:id="20" w:name="effective-duration-effdur"/>
    <w:p>
      <w:pPr>
        <w:pStyle w:val="Heading3"/>
      </w:pPr>
      <w:r>
        <w:t xml:space="preserve">Effective Duration (EffDur)</w:t>
      </w:r>
    </w:p>
    <w:p>
      <w:pPr>
        <w:pStyle w:val="FirstParagraph"/>
      </w:pPr>
      <m:oMathPara>
        <m:oMathParaPr>
          <m:jc m:val="center"/>
        </m:oMathParaPr>
        <m:oMath>
          <m:r>
            <m:t>E</m:t>
          </m:r>
          <m:r>
            <m:t>f</m:t>
          </m:r>
          <m:r>
            <m:t>f</m:t>
          </m:r>
          <m:r>
            <m:t>D</m:t>
          </m:r>
          <m:r>
            <m:t>u</m:t>
          </m:r>
          <m:r>
            <m:t>r</m:t>
          </m:r>
          <m:r>
            <m:rPr>
              <m:sty m:val="p"/>
            </m:rPr>
            <m:t>=</m:t>
          </m:r>
          <m:f>
            <m:fPr>
              <m:type m:val="bar"/>
            </m:fPr>
            <m:num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t>P</m:t>
                  </m:r>
                  <m:sSub>
                    <m:e>
                      <m:r>
                        <m:t>V</m:t>
                      </m:r>
                    </m:e>
                    <m:sub>
                      <m:r>
                        <m:rPr>
                          <m:sty m:val="p"/>
                        </m:rPr>
                        <m:t>−</m:t>
                      </m:r>
                    </m:sub>
                  </m:sSub>
                </m:e>
              </m:d>
              <m:r>
                <m:rPr>
                  <m:sty m:val="p"/>
                </m:rPr>
                <m:t>−</m:t>
              </m:r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t>P</m:t>
                  </m:r>
                  <m:sSub>
                    <m:e>
                      <m:r>
                        <m:t>V</m:t>
                      </m:r>
                    </m:e>
                    <m:sub>
                      <m:r>
                        <m:rPr>
                          <m:sty m:val="p"/>
                        </m:rPr>
                        <m:t>+</m:t>
                      </m:r>
                    </m:sub>
                  </m:sSub>
                </m:e>
              </m:d>
            </m:num>
            <m:den>
              <m:r>
                <m:t>2</m:t>
              </m:r>
              <m:r>
                <m:rPr>
                  <m:sty m:val="p"/>
                </m:rPr>
                <m:t>×</m:t>
              </m:r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t>Δ</m:t>
                  </m:r>
                  <m:r>
                    <m:t>C</m:t>
                  </m:r>
                  <m:r>
                    <m:t>u</m:t>
                  </m:r>
                  <m:r>
                    <m:t>r</m:t>
                  </m:r>
                  <m:r>
                    <m:t>v</m:t>
                  </m:r>
                  <m:r>
                    <m:t>e</m:t>
                  </m:r>
                </m:e>
              </m:d>
              <m:r>
                <m:rPr>
                  <m:sty m:val="p"/>
                </m:rPr>
                <m:t>×</m:t>
              </m:r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t>P</m:t>
                  </m:r>
                  <m:sSub>
                    <m:e>
                      <m:r>
                        <m:t>V</m:t>
                      </m:r>
                    </m:e>
                    <m:sub>
                      <m:r>
                        <m:t>0</m:t>
                      </m:r>
                    </m:sub>
                  </m:sSub>
                </m:e>
              </m:d>
            </m:den>
          </m:f>
          <m:r>
            <m:rPr>
              <m:sty m:val="p"/>
            </m:rPr>
            <m:t>.</m:t>
          </m:r>
        </m:oMath>
      </m:oMathPara>
    </w:p>
    <w:p>
      <w:pPr>
        <w:pStyle w:val="Compact"/>
        <w:numPr>
          <w:ilvl w:val="0"/>
          <w:numId w:val="1001"/>
        </w:numPr>
      </w:pPr>
      <w:r>
        <w:t xml:space="preserve">Effective duration and effective convexity are useful for gauging the</w:t>
      </w:r>
      <w:r>
        <w:t xml:space="preserve"> </w:t>
      </w:r>
      <w:r>
        <w:t xml:space="preserve">interest rate risk of bonds whose future cash flows are uncertain.</w:t>
      </w:r>
      <w:r>
        <w:br/>
      </w:r>
    </w:p>
    <w:p>
      <w:pPr>
        <w:pStyle w:val="Compact"/>
        <w:numPr>
          <w:ilvl w:val="0"/>
          <w:numId w:val="1001"/>
        </w:numPr>
      </w:pPr>
      <w:r>
        <w:t xml:space="preserve">Effective duration and effective convexity can be used to estimate the</w:t>
      </w:r>
      <w:r>
        <w:t xml:space="preserve"> </w:t>
      </w:r>
      <w:r>
        <w:t xml:space="preserve">percentage change in a bond’s full price for a given shift in the benchmark</w:t>
      </w:r>
      <w:r>
        <w:t xml:space="preserve"> </w:t>
      </w:r>
      <w:r>
        <w:t xml:space="preserve">yield curve.</w:t>
      </w:r>
      <w:r>
        <w:br/>
      </w:r>
    </w:p>
    <w:p>
      <w:pPr>
        <w:pStyle w:val="Compact"/>
        <w:numPr>
          <w:ilvl w:val="0"/>
          <w:numId w:val="1001"/>
        </w:numPr>
      </w:pPr>
      <w:r>
        <w:t xml:space="preserve">Calculating effective duration (</w:t>
      </w:r>
      <m:oMath>
        <m:r>
          <m:t>E</m:t>
        </m:r>
        <m:r>
          <m:t>f</m:t>
        </m:r>
        <m:r>
          <m:t>f</m:t>
        </m:r>
        <m:r>
          <m:t>D</m:t>
        </m:r>
        <m:r>
          <m:t>u</m:t>
        </m:r>
        <m:r>
          <m:t>r</m:t>
        </m:r>
      </m:oMath>
      <w:r>
        <w:t xml:space="preserve">) is very similar to calculating</w:t>
      </w:r>
      <w:r>
        <w:t xml:space="preserve"> </w:t>
      </w:r>
      <w:r>
        <w:t xml:space="preserve">approximate modified duration, as shown in Equation 1.</w:t>
      </w:r>
    </w:p>
    <w:p>
      <w:pPr>
        <w:pStyle w:val="Compact"/>
        <w:numPr>
          <w:ilvl w:val="1"/>
          <w:numId w:val="1002"/>
        </w:numPr>
      </w:pPr>
      <w:r>
        <w:t xml:space="preserve">The differences are that</w:t>
      </w:r>
      <w:r>
        <w:t xml:space="preserve"> </w:t>
      </w:r>
      <m:oMath>
        <m:r>
          <m:t>Δ</m:t>
        </m:r>
        <m:r>
          <m:t>C</m:t>
        </m:r>
        <m:r>
          <m:t>u</m:t>
        </m:r>
        <m:r>
          <m:t>r</m:t>
        </m:r>
        <m:r>
          <m:t>v</m:t>
        </m:r>
        <m:r>
          <m:t>e</m:t>
        </m:r>
      </m:oMath>
      <w:r>
        <w:t xml:space="preserve"> </w:t>
      </w:r>
      <w:r>
        <w:t xml:space="preserve">is in the denominator—since</w:t>
      </w:r>
      <w:r>
        <w:t xml:space="preserve"> </w:t>
      </w:r>
      <w:r>
        <w:t xml:space="preserve">effective duration is a curve duration statistic, it measures interest</w:t>
      </w:r>
      <w:r>
        <w:t xml:space="preserve"> </w:t>
      </w:r>
      <w:r>
        <w:t xml:space="preserve">rate risk in terms of a parallel shift in the benchmark yield curve—and</w:t>
      </w:r>
      <w:r>
        <w:t xml:space="preserve"> </w:t>
      </w:r>
      <w:r>
        <w:t xml:space="preserve">that</w:t>
      </w:r>
      <w:r>
        <w:t xml:space="preserve"> </w:t>
      </w:r>
      <m:oMath>
        <m:r>
          <m:t>P</m:t>
        </m:r>
        <m:sSub>
          <m:e>
            <m:r>
              <m:t>V</m:t>
            </m:r>
          </m:e>
          <m:sub>
            <m:r>
              <m:rPr>
                <m:sty m:val="p"/>
              </m:rPr>
              <m:t>−</m:t>
            </m:r>
          </m:sub>
        </m:sSub>
      </m:oMath>
      <w:r>
        <w:t xml:space="preserve"> </w:t>
      </w:r>
      <w:r>
        <w:t xml:space="preserve">and</w:t>
      </w:r>
      <w:r>
        <w:t xml:space="preserve"> </w:t>
      </w:r>
      <m:oMath>
        <m:r>
          <m:t>P</m:t>
        </m:r>
        <m:sSub>
          <m:e>
            <m:r>
              <m:t>V</m:t>
            </m:r>
          </m:e>
          <m:sub>
            <m:r>
              <m:rPr>
                <m:sty m:val="p"/>
              </m:rPr>
              <m:t>+</m:t>
            </m:r>
          </m:sub>
        </m:sSub>
      </m:oMath>
      <w:r>
        <w:t xml:space="preserve"> </w:t>
      </w:r>
      <w:r>
        <w:t xml:space="preserve">are calculated using option pricing models.</w:t>
      </w:r>
      <w:r>
        <w:br/>
      </w:r>
    </w:p>
    <w:p>
      <w:pPr>
        <w:pStyle w:val="Compact"/>
        <w:numPr>
          <w:ilvl w:val="1"/>
          <w:numId w:val="1002"/>
        </w:numPr>
      </w:pPr>
      <w:r>
        <w:t xml:space="preserve">These models are covered in more detail in later modules but include such</w:t>
      </w:r>
      <w:r>
        <w:t xml:space="preserve"> </w:t>
      </w:r>
      <w:r>
        <w:t xml:space="preserve">inputs as</w:t>
      </w:r>
    </w:p>
    <w:p>
      <w:pPr>
        <w:pStyle w:val="Compact"/>
        <w:numPr>
          <w:ilvl w:val="2"/>
          <w:numId w:val="1003"/>
        </w:numPr>
      </w:pPr>
    </w:p>
    <w:p>
      <w:pPr>
        <w:pStyle w:val="Compact"/>
        <w:numPr>
          <w:ilvl w:val="3"/>
          <w:numId w:val="1004"/>
        </w:numPr>
      </w:pPr>
      <w:r>
        <w:t xml:space="preserve">the length of the call protection period,</w:t>
      </w:r>
      <w:r>
        <w:br/>
      </w:r>
    </w:p>
    <w:p>
      <w:pPr>
        <w:pStyle w:val="Compact"/>
        <w:numPr>
          <w:ilvl w:val="2"/>
          <w:numId w:val="1003"/>
        </w:numPr>
      </w:pPr>
    </w:p>
    <w:p>
      <w:pPr>
        <w:pStyle w:val="Compact"/>
        <w:numPr>
          <w:ilvl w:val="3"/>
          <w:numId w:val="1005"/>
        </w:numPr>
      </w:pPr>
      <w:r>
        <w:t xml:space="preserve">the schedule of call prices and call dates,</w:t>
      </w:r>
      <w:r>
        <w:br/>
      </w:r>
    </w:p>
    <w:p>
      <w:pPr>
        <w:pStyle w:val="Compact"/>
        <w:numPr>
          <w:ilvl w:val="2"/>
          <w:numId w:val="1003"/>
        </w:numPr>
      </w:pPr>
    </w:p>
    <w:p>
      <w:pPr>
        <w:pStyle w:val="Compact"/>
        <w:numPr>
          <w:ilvl w:val="3"/>
          <w:numId w:val="1006"/>
        </w:numPr>
      </w:pPr>
      <w:r>
        <w:t xml:space="preserve">an assumption about credit spreads over benchmark yields (which also</w:t>
      </w:r>
      <w:r>
        <w:t xml:space="preserve"> </w:t>
      </w:r>
      <w:r>
        <w:t xml:space="preserve">includes any liquidity spread),</w:t>
      </w:r>
      <w:r>
        <w:br/>
      </w:r>
    </w:p>
    <w:p>
      <w:pPr>
        <w:pStyle w:val="Compact"/>
        <w:numPr>
          <w:ilvl w:val="2"/>
          <w:numId w:val="1003"/>
        </w:numPr>
      </w:pPr>
    </w:p>
    <w:p>
      <w:pPr>
        <w:pStyle w:val="Compact"/>
        <w:numPr>
          <w:ilvl w:val="3"/>
          <w:numId w:val="1007"/>
        </w:numPr>
      </w:pPr>
      <w:r>
        <w:t xml:space="preserve">an assumption about future interest rate volatility, and</w:t>
      </w:r>
      <w:r>
        <w:br/>
      </w:r>
    </w:p>
    <w:p>
      <w:pPr>
        <w:pStyle w:val="Compact"/>
        <w:numPr>
          <w:ilvl w:val="2"/>
          <w:numId w:val="1003"/>
        </w:numPr>
      </w:pPr>
    </w:p>
    <w:p>
      <w:pPr>
        <w:pStyle w:val="Compact"/>
        <w:numPr>
          <w:ilvl w:val="3"/>
          <w:numId w:val="1008"/>
        </w:numPr>
      </w:pPr>
      <w:r>
        <w:t xml:space="preserve">the level of market interest rates (e.g., the government par curve).</w:t>
      </w:r>
      <w:r>
        <w:t xml:space="preserve"> </w:t>
      </w:r>
      <w:r>
        <w:t xml:space="preserve">The analyst holds the first four inputs constant and then raises and</w:t>
      </w:r>
      <w:r>
        <w:t xml:space="preserve"> </w:t>
      </w:r>
      <w:r>
        <w:t xml:space="preserve">lowers the fifth input (i.e., parallel shifts) to derive</w:t>
      </w:r>
      <w:r>
        <w:t xml:space="preserve"> </w:t>
      </w:r>
      <m:oMath>
        <m:r>
          <m:t>P</m:t>
        </m:r>
        <m:sSub>
          <m:e>
            <m:r>
              <m:t>V</m:t>
            </m:r>
          </m:e>
          <m:sub>
            <m:r>
              <m:rPr>
                <m:sty m:val="p"/>
              </m:rPr>
              <m:t>+</m:t>
            </m:r>
          </m:sub>
        </m:sSub>
      </m:oMath>
      <w:r>
        <w:t xml:space="preserve"> </w:t>
      </w:r>
      <w:r>
        <w:t xml:space="preserve">and</w:t>
      </w:r>
      <w:r>
        <w:t xml:space="preserve"> </w:t>
      </w:r>
      <m:oMath>
        <m:r>
          <m:t>P</m:t>
        </m:r>
        <m:sSub>
          <m:e>
            <m:r>
              <m:t>V</m:t>
            </m:r>
          </m:e>
          <m:sub>
            <m:r>
              <m:rPr>
                <m:sty m:val="p"/>
              </m:rPr>
              <m:t>−</m:t>
            </m:r>
          </m:sub>
        </m:sSub>
      </m:oMath>
      <w:r>
        <w:t xml:space="preserve">, respectively.</w:t>
      </w:r>
    </w:p>
    <w:p>
      <w:r>
        <w:pict>
          <v:rect style="width:0;height:1.5pt" o:hralign="center" o:hrstd="t" o:hr="t"/>
        </w:pict>
      </w:r>
    </w:p>
    <w:bookmarkEnd w:id="20"/>
    <w:bookmarkStart w:id="21" w:name="effective-convexity-effcon"/>
    <w:p>
      <w:pPr>
        <w:pStyle w:val="Heading3"/>
      </w:pPr>
      <w:r>
        <w:t xml:space="preserve">Effective Convexity (EffCon)</w:t>
      </w:r>
    </w:p>
    <w:p>
      <w:pPr>
        <w:pStyle w:val="FirstParagraph"/>
      </w:pPr>
      <m:oMathPara>
        <m:oMathParaPr>
          <m:jc m:val="center"/>
        </m:oMathParaPr>
        <m:oMath>
          <m:r>
            <m:t>E</m:t>
          </m:r>
          <m:r>
            <m:t>f</m:t>
          </m:r>
          <m:r>
            <m:t>f</m:t>
          </m:r>
          <m:r>
            <m:t>C</m:t>
          </m:r>
          <m:r>
            <m:t>o</m:t>
          </m:r>
          <m:r>
            <m:t>n</m:t>
          </m:r>
          <m:r>
            <m:rPr>
              <m:sty m:val="p"/>
            </m:rPr>
            <m:t>=</m:t>
          </m:r>
          <m:f>
            <m:fPr>
              <m:type m:val="bar"/>
            </m:fPr>
            <m:num>
              <m:d>
                <m:dPr>
                  <m:begChr m:val="["/>
                  <m:sepChr m:val=""/>
                  <m:endChr m:val="]"/>
                  <m:grow/>
                </m:dPr>
                <m:e>
                  <m:d>
                    <m:dPr>
                      <m:begChr m:val="("/>
                      <m:sepChr m:val=""/>
                      <m:endChr m:val=")"/>
                      <m:grow/>
                    </m:dPr>
                    <m:e>
                      <m:r>
                        <m:t>P</m:t>
                      </m:r>
                      <m:sSub>
                        <m:e>
                          <m:r>
                            <m:t>V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m:t>−</m:t>
                          </m:r>
                        </m:sub>
                      </m:sSub>
                    </m:e>
                  </m:d>
                  <m:r>
                    <m:rPr>
                      <m:sty m:val="p"/>
                    </m:rPr>
                    <m:t>+</m:t>
                  </m:r>
                  <m:d>
                    <m:dPr>
                      <m:begChr m:val="("/>
                      <m:sepChr m:val=""/>
                      <m:endChr m:val=")"/>
                      <m:grow/>
                    </m:dPr>
                    <m:e>
                      <m:r>
                        <m:t>P</m:t>
                      </m:r>
                      <m:sSub>
                        <m:e>
                          <m:r>
                            <m:t>V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m:t>+</m:t>
                          </m:r>
                        </m:sub>
                      </m:sSub>
                    </m:e>
                  </m:d>
                </m:e>
              </m:d>
              <m:r>
                <m:rPr>
                  <m:sty m:val="p"/>
                </m:rPr>
                <m:t>−</m:t>
              </m:r>
              <m:d>
                <m:dPr>
                  <m:begChr m:val="["/>
                  <m:sepChr m:val=""/>
                  <m:endChr m:val="]"/>
                  <m:grow/>
                </m:dPr>
                <m:e>
                  <m:r>
                    <m:t>2</m:t>
                  </m:r>
                  <m:r>
                    <m:rPr>
                      <m:sty m:val="p"/>
                    </m:rPr>
                    <m:t>×</m:t>
                  </m:r>
                  <m:d>
                    <m:dPr>
                      <m:begChr m:val="("/>
                      <m:sepChr m:val=""/>
                      <m:endChr m:val=")"/>
                      <m:grow/>
                    </m:dPr>
                    <m:e>
                      <m:r>
                        <m:t>P</m:t>
                      </m:r>
                      <m:sSub>
                        <m:e>
                          <m:r>
                            <m:t>V</m:t>
                          </m:r>
                        </m:e>
                        <m:sub>
                          <m:r>
                            <m:t>0</m:t>
                          </m:r>
                        </m:sub>
                      </m:sSub>
                    </m:e>
                  </m:d>
                </m:e>
              </m:d>
            </m:num>
            <m:den>
              <m:sSup>
                <m:e>
                  <m:d>
                    <m:dPr>
                      <m:begChr m:val="("/>
                      <m:sepChr m:val=""/>
                      <m:endChr m:val=")"/>
                      <m:grow/>
                    </m:dPr>
                    <m:e>
                      <m:r>
                        <m:t>Δ</m:t>
                      </m:r>
                      <m:r>
                        <m:t>C</m:t>
                      </m:r>
                      <m:r>
                        <m:t>u</m:t>
                      </m:r>
                      <m:r>
                        <m:t>r</m:t>
                      </m:r>
                      <m:r>
                        <m:t>v</m:t>
                      </m:r>
                      <m:r>
                        <m:t>e</m:t>
                      </m:r>
                    </m:e>
                  </m:d>
                </m:e>
                <m:sup>
                  <m:r>
                    <m:t>2</m:t>
                  </m:r>
                </m:sup>
              </m:sSup>
              <m:r>
                <m:rPr>
                  <m:sty m:val="p"/>
                </m:rPr>
                <m:t>×</m:t>
              </m:r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t>P</m:t>
                  </m:r>
                  <m:sSub>
                    <m:e>
                      <m:r>
                        <m:t>V</m:t>
                      </m:r>
                    </m:e>
                    <m:sub>
                      <m:r>
                        <m:t>0</m:t>
                      </m:r>
                    </m:sub>
                  </m:sSub>
                </m:e>
              </m:d>
            </m:den>
          </m:f>
        </m:oMath>
      </m:oMathPara>
    </w:p>
    <w:p>
      <w:pPr>
        <w:pStyle w:val="Compact"/>
        <w:numPr>
          <w:ilvl w:val="0"/>
          <w:numId w:val="1009"/>
        </w:numPr>
      </w:pPr>
      <w:r>
        <w:t xml:space="preserve">Effective duration and effective convexity are useful for gauging the</w:t>
      </w:r>
      <w:r>
        <w:t xml:space="preserve"> </w:t>
      </w:r>
      <w:r>
        <w:t xml:space="preserve">interest rate risk of bonds whose future cash flows are uncertain.</w:t>
      </w:r>
      <w:r>
        <w:br/>
      </w:r>
    </w:p>
    <w:p>
      <w:pPr>
        <w:pStyle w:val="Compact"/>
        <w:numPr>
          <w:ilvl w:val="0"/>
          <w:numId w:val="1009"/>
        </w:numPr>
      </w:pPr>
      <w:r>
        <w:t xml:space="preserve">Effective duration and effective convexity can be used to estimate the</w:t>
      </w:r>
      <w:r>
        <w:t xml:space="preserve"> </w:t>
      </w:r>
      <w:r>
        <w:t xml:space="preserve">percentage change in a bond’s full price for a given shift in the benchmark</w:t>
      </w:r>
      <w:r>
        <w:t xml:space="preserve"> </w:t>
      </w:r>
      <w:r>
        <w:t xml:space="preserve">yield curve.</w:t>
      </w:r>
      <w:r>
        <w:br/>
      </w:r>
    </w:p>
    <w:p>
      <w:pPr>
        <w:pStyle w:val="Compact"/>
        <w:numPr>
          <w:ilvl w:val="0"/>
          <w:numId w:val="1009"/>
        </w:numPr>
      </w:pPr>
      <w:r>
        <w:t xml:space="preserve">The formula for calculating effective convexity (</w:t>
      </w:r>
      <m:oMath>
        <m:r>
          <m:t>E</m:t>
        </m:r>
        <m:r>
          <m:t>f</m:t>
        </m:r>
        <m:r>
          <m:t>f</m:t>
        </m:r>
        <m:r>
          <m:t>C</m:t>
        </m:r>
        <m:r>
          <m:t>o</m:t>
        </m:r>
        <m:r>
          <m:t>n</m:t>
        </m:r>
      </m:oMath>
      <w:r>
        <w:t xml:space="preserve">) is also very</w:t>
      </w:r>
      <w:r>
        <w:t xml:space="preserve"> </w:t>
      </w:r>
      <w:r>
        <w:t xml:space="preserve">similar to the formula for approximate convexity, as shown in Equation 2.</w:t>
      </w:r>
    </w:p>
    <w:p>
      <w:pPr>
        <w:pStyle w:val="Compact"/>
        <w:numPr>
          <w:ilvl w:val="1"/>
          <w:numId w:val="1010"/>
        </w:numPr>
      </w:pPr>
      <w:r>
        <w:t xml:space="preserve">The differences are that</w:t>
      </w:r>
      <w:r>
        <w:t xml:space="preserve"> </w:t>
      </w:r>
      <m:oMath>
        <m:r>
          <m:t>Δ</m:t>
        </m:r>
        <m:r>
          <m:t>C</m:t>
        </m:r>
        <m:r>
          <m:t>u</m:t>
        </m:r>
        <m:r>
          <m:t>r</m:t>
        </m:r>
        <m:r>
          <m:t>v</m:t>
        </m:r>
        <m:r>
          <m:t>e</m:t>
        </m:r>
      </m:oMath>
      <w:r>
        <w:t xml:space="preserve"> </w:t>
      </w:r>
      <w:r>
        <w:t xml:space="preserve">is in the denominator—since</w:t>
      </w:r>
      <w:r>
        <w:t xml:space="preserve"> </w:t>
      </w:r>
      <w:r>
        <w:t xml:space="preserve">effective duration is a curve duration statistic, it measures interest</w:t>
      </w:r>
      <w:r>
        <w:t xml:space="preserve"> </w:t>
      </w:r>
      <w:r>
        <w:t xml:space="preserve">rate risk in terms of a parallel shift in the benchmark yield curve—and</w:t>
      </w:r>
      <w:r>
        <w:t xml:space="preserve"> </w:t>
      </w:r>
      <w:r>
        <w:t xml:space="preserve">that</w:t>
      </w:r>
      <w:r>
        <w:t xml:space="preserve"> </w:t>
      </w:r>
      <m:oMath>
        <m:r>
          <m:t>P</m:t>
        </m:r>
        <m:sSub>
          <m:e>
            <m:r>
              <m:t>V</m:t>
            </m:r>
          </m:e>
          <m:sub>
            <m:r>
              <m:rPr>
                <m:sty m:val="p"/>
              </m:rPr>
              <m:t>−</m:t>
            </m:r>
          </m:sub>
        </m:sSub>
      </m:oMath>
      <w:r>
        <w:t xml:space="preserve"> </w:t>
      </w:r>
      <w:r>
        <w:t xml:space="preserve">and</w:t>
      </w:r>
      <w:r>
        <w:t xml:space="preserve"> </w:t>
      </w:r>
      <m:oMath>
        <m:r>
          <m:t>P</m:t>
        </m:r>
        <m:sSub>
          <m:e>
            <m:r>
              <m:t>V</m:t>
            </m:r>
          </m:e>
          <m:sub>
            <m:r>
              <m:rPr>
                <m:sty m:val="p"/>
              </m:rPr>
              <m:t>+</m:t>
            </m:r>
          </m:sub>
        </m:sSub>
      </m:oMath>
      <w:r>
        <w:t xml:space="preserve"> </w:t>
      </w:r>
      <w:r>
        <w:t xml:space="preserve">are calculated using option pricing models.</w:t>
      </w:r>
      <w:r>
        <w:br/>
      </w:r>
    </w:p>
    <w:p>
      <w:pPr>
        <w:pStyle w:val="Compact"/>
        <w:numPr>
          <w:ilvl w:val="1"/>
          <w:numId w:val="1010"/>
        </w:numPr>
      </w:pPr>
      <w:r>
        <w:t xml:space="preserve">These models are covered in more detail in later modules but include such</w:t>
      </w:r>
      <w:r>
        <w:t xml:space="preserve"> </w:t>
      </w:r>
      <w:r>
        <w:t xml:space="preserve">inputs as</w:t>
      </w:r>
    </w:p>
    <w:p>
      <w:pPr>
        <w:pStyle w:val="Compact"/>
        <w:numPr>
          <w:ilvl w:val="2"/>
          <w:numId w:val="1011"/>
        </w:numPr>
      </w:pPr>
    </w:p>
    <w:p>
      <w:pPr>
        <w:pStyle w:val="Compact"/>
        <w:numPr>
          <w:ilvl w:val="3"/>
          <w:numId w:val="1012"/>
        </w:numPr>
      </w:pPr>
      <w:r>
        <w:t xml:space="preserve">the length of the call protection period,</w:t>
      </w:r>
      <w:r>
        <w:br/>
      </w:r>
    </w:p>
    <w:p>
      <w:pPr>
        <w:pStyle w:val="Compact"/>
        <w:numPr>
          <w:ilvl w:val="2"/>
          <w:numId w:val="1011"/>
        </w:numPr>
      </w:pPr>
    </w:p>
    <w:p>
      <w:pPr>
        <w:pStyle w:val="Compact"/>
        <w:numPr>
          <w:ilvl w:val="3"/>
          <w:numId w:val="1013"/>
        </w:numPr>
      </w:pPr>
      <w:r>
        <w:t xml:space="preserve">the schedule of call prices and call dates,</w:t>
      </w:r>
      <w:r>
        <w:br/>
      </w:r>
    </w:p>
    <w:p>
      <w:pPr>
        <w:pStyle w:val="Compact"/>
        <w:numPr>
          <w:ilvl w:val="2"/>
          <w:numId w:val="1011"/>
        </w:numPr>
      </w:pPr>
    </w:p>
    <w:p>
      <w:pPr>
        <w:pStyle w:val="Compact"/>
        <w:numPr>
          <w:ilvl w:val="3"/>
          <w:numId w:val="1014"/>
        </w:numPr>
      </w:pPr>
      <w:r>
        <w:t xml:space="preserve">an assumption about credit spreads over benchmark yields (which also</w:t>
      </w:r>
      <w:r>
        <w:t xml:space="preserve"> </w:t>
      </w:r>
      <w:r>
        <w:t xml:space="preserve">includes any liquidity spread),</w:t>
      </w:r>
      <w:r>
        <w:br/>
      </w:r>
    </w:p>
    <w:p>
      <w:pPr>
        <w:pStyle w:val="Compact"/>
        <w:numPr>
          <w:ilvl w:val="2"/>
          <w:numId w:val="1011"/>
        </w:numPr>
      </w:pPr>
    </w:p>
    <w:p>
      <w:pPr>
        <w:pStyle w:val="Compact"/>
        <w:numPr>
          <w:ilvl w:val="3"/>
          <w:numId w:val="1015"/>
        </w:numPr>
      </w:pPr>
      <w:r>
        <w:t xml:space="preserve">an assumption about future interest rate volatility, and</w:t>
      </w:r>
      <w:r>
        <w:br/>
      </w:r>
    </w:p>
    <w:p>
      <w:pPr>
        <w:pStyle w:val="Compact"/>
        <w:numPr>
          <w:ilvl w:val="2"/>
          <w:numId w:val="1011"/>
        </w:numPr>
      </w:pPr>
    </w:p>
    <w:p>
      <w:pPr>
        <w:pStyle w:val="Compact"/>
        <w:numPr>
          <w:ilvl w:val="3"/>
          <w:numId w:val="1016"/>
        </w:numPr>
      </w:pPr>
      <w:r>
        <w:t xml:space="preserve">the level of market interest rates (e.g., the government par curve).</w:t>
      </w:r>
      <w:r>
        <w:t xml:space="preserve"> </w:t>
      </w:r>
      <w:r>
        <w:t xml:space="preserve">The analyst holds the first four inputs constant and then raises and</w:t>
      </w:r>
      <w:r>
        <w:t xml:space="preserve"> </w:t>
      </w:r>
      <w:r>
        <w:t xml:space="preserve">lowers the fifth input (i.e., parallel shifts) to derive</w:t>
      </w:r>
      <w:r>
        <w:t xml:space="preserve"> </w:t>
      </w:r>
      <m:oMath>
        <m:r>
          <m:t>P</m:t>
        </m:r>
        <m:sSub>
          <m:e>
            <m:r>
              <m:t>V</m:t>
            </m:r>
          </m:e>
          <m:sub>
            <m:r>
              <m:rPr>
                <m:sty m:val="p"/>
              </m:rPr>
              <m:t>+</m:t>
            </m:r>
          </m:sub>
        </m:sSub>
      </m:oMath>
      <w:r>
        <w:t xml:space="preserve"> </w:t>
      </w:r>
      <w:r>
        <w:t xml:space="preserve">and</w:t>
      </w:r>
      <w:r>
        <w:t xml:space="preserve"> </w:t>
      </w:r>
      <m:oMath>
        <m:r>
          <m:t>P</m:t>
        </m:r>
        <m:sSub>
          <m:e>
            <m:r>
              <m:t>V</m:t>
            </m:r>
          </m:e>
          <m:sub>
            <m:r>
              <m:rPr>
                <m:sty m:val="p"/>
              </m:rPr>
              <m:t>−</m:t>
            </m:r>
          </m:sub>
        </m:sSub>
      </m:oMath>
      <w:r>
        <w:t xml:space="preserve">, respectively.</w:t>
      </w:r>
    </w:p>
    <w:p>
      <w:r>
        <w:pict>
          <v:rect style="width:0;height:1.5pt" o:hralign="center" o:hrstd="t" o:hr="t"/>
        </w:pict>
      </w:r>
    </w:p>
    <w:bookmarkEnd w:id="21"/>
    <w:bookmarkStart w:id="22" w:name="Xd6effe23b3aaf0c2dad4754e28d49fd506d92ab"/>
    <w:p>
      <w:pPr>
        <w:pStyle w:val="Heading3"/>
      </w:pPr>
      <w:r>
        <w:t xml:space="preserve">Estimate the percentage change in a bond’s full price</w:t>
      </w:r>
    </w:p>
    <w:p>
      <w:pPr>
        <w:pStyle w:val="FirstParagraph"/>
      </w:pPr>
      <m:oMathPara>
        <m:oMathParaPr>
          <m:jc m:val="center"/>
        </m:oMathParaPr>
        <m:oMath>
          <m:r>
            <m:rPr>
              <m:sty m:val="p"/>
            </m:rPr>
            <m:t>%</m:t>
          </m:r>
          <m:r>
            <m:t>Δ</m:t>
          </m:r>
          <m:r>
            <m:t>P</m:t>
          </m:r>
          <m:sSup>
            <m:e>
              <m:r>
                <m:t>V</m:t>
              </m:r>
            </m:e>
            <m:sup>
              <m:r>
                <m:t>F</m:t>
              </m:r>
              <m:r>
                <m:t>u</m:t>
              </m:r>
              <m:r>
                <m:t>l</m:t>
              </m:r>
              <m:r>
                <m:t>l</m:t>
              </m:r>
            </m:sup>
          </m:sSup>
          <m:r>
            <m:rPr>
              <m:sty m:val="p"/>
            </m:rPr>
            <m:t>≈</m:t>
          </m:r>
          <m:d>
            <m:dPr>
              <m:begChr m:val="("/>
              <m:sepChr m:val=""/>
              <m:endChr m:val=")"/>
              <m:grow/>
            </m:dPr>
            <m:e>
              <m:r>
                <m:rPr>
                  <m:sty m:val="p"/>
                </m:rPr>
                <m:t>−</m:t>
              </m:r>
              <m:r>
                <m:t>E</m:t>
              </m:r>
              <m:r>
                <m:t>f</m:t>
              </m:r>
              <m:r>
                <m:t>f</m:t>
              </m:r>
              <m:r>
                <m:t>D</m:t>
              </m:r>
              <m:r>
                <m:t>u</m:t>
              </m:r>
              <m:r>
                <m:t>r</m:t>
              </m:r>
              <m:r>
                <m:rPr>
                  <m:sty m:val="p"/>
                </m:rPr>
                <m:t>×</m:t>
              </m:r>
              <m:r>
                <m:t>Δ</m:t>
              </m:r>
              <m:r>
                <m:t>C</m:t>
              </m:r>
              <m:r>
                <m:t>u</m:t>
              </m:r>
              <m:r>
                <m:t>r</m:t>
              </m:r>
              <m:r>
                <m:t>v</m:t>
              </m:r>
              <m:r>
                <m:t>e</m:t>
              </m:r>
            </m:e>
          </m:d>
          <m:r>
            <m:rPr>
              <m:sty m:val="p"/>
            </m:rPr>
            <m:t>+</m:t>
          </m:r>
          <m:d>
            <m:dPr>
              <m:begChr m:val="["/>
              <m:sepChr m:val=""/>
              <m:endChr m:val="]"/>
              <m:grow/>
            </m:dPr>
            <m:e>
              <m:f>
                <m:fPr>
                  <m:type m:val="bar"/>
                </m:fPr>
                <m:num>
                  <m:r>
                    <m:t>1</m:t>
                  </m:r>
                </m:num>
                <m:den>
                  <m:r>
                    <m:t>2</m:t>
                  </m:r>
                </m:den>
              </m:f>
              <m:r>
                <m:rPr>
                  <m:sty m:val="p"/>
                </m:rPr>
                <m:t>×</m:t>
              </m:r>
              <m:r>
                <m:t>E</m:t>
              </m:r>
              <m:r>
                <m:t>f</m:t>
              </m:r>
              <m:r>
                <m:t>f</m:t>
              </m:r>
              <m:r>
                <m:t>C</m:t>
              </m:r>
              <m:r>
                <m:t>o</m:t>
              </m:r>
              <m:r>
                <m:t>n</m:t>
              </m:r>
              <m:r>
                <m:rPr>
                  <m:sty m:val="p"/>
                </m:rPr>
                <m:t>×</m:t>
              </m:r>
              <m:sSup>
                <m:e>
                  <m:d>
                    <m:dPr>
                      <m:begChr m:val="("/>
                      <m:sepChr m:val=""/>
                      <m:endChr m:val=")"/>
                      <m:grow/>
                    </m:dPr>
                    <m:e>
                      <m:r>
                        <m:t>Δ</m:t>
                      </m:r>
                      <m:r>
                        <m:t>C</m:t>
                      </m:r>
                      <m:r>
                        <m:t>u</m:t>
                      </m:r>
                      <m:r>
                        <m:t>r</m:t>
                      </m:r>
                      <m:r>
                        <m:t>v</m:t>
                      </m:r>
                      <m:r>
                        <m:t>e</m:t>
                      </m:r>
                    </m:e>
                  </m:d>
                </m:e>
                <m:sup>
                  <m:r>
                    <m:t>2</m:t>
                  </m:r>
                </m:sup>
              </m:sSup>
            </m:e>
          </m:d>
        </m:oMath>
      </m:oMathPara>
    </w:p>
    <w:p>
      <w:pPr>
        <w:pStyle w:val="Compact"/>
        <w:numPr>
          <w:ilvl w:val="0"/>
          <w:numId w:val="1017"/>
        </w:numPr>
      </w:pPr>
      <w:r>
        <w:t xml:space="preserve">Just as with yield-based interest rate risk measures, effective duration and</w:t>
      </w:r>
      <w:r>
        <w:t xml:space="preserve"> </w:t>
      </w:r>
      <w:r>
        <w:t xml:space="preserve">effective convexity can be used to estimate the percentage change in a</w:t>
      </w:r>
      <w:r>
        <w:t xml:space="preserve"> </w:t>
      </w:r>
      <w:r>
        <w:t xml:space="preserve">bond’s full price for a given shift in the benchmark yield curve</w:t>
      </w:r>
      <w:r>
        <w:t xml:space="preserve"> </w:t>
      </w:r>
      <w:r>
        <w:t xml:space="preserve">(</w:t>
      </w:r>
      <m:oMath>
        <m:r>
          <m:t>Δ</m:t>
        </m:r>
      </m:oMath>
      <w:r>
        <w:t xml:space="preserve"> </w:t>
      </w:r>
      <w:r>
        <w:t xml:space="preserve">Curve), as shown in Equation 3.</w:t>
      </w:r>
    </w:p>
    <w:p>
      <w:r>
        <w:pict>
          <v:rect style="width:0;height:1.5pt" o:hralign="center" o:hrstd="t" o:hr="t"/>
        </w:pict>
      </w:r>
    </w:p>
    <w:bookmarkEnd w:id="22"/>
    <w:bookmarkStart w:id="23" w:name="key-rate-duration-or-partial-duration"/>
    <w:p>
      <w:pPr>
        <w:pStyle w:val="Heading3"/>
      </w:pPr>
      <w:r>
        <w:t xml:space="preserve">Key rate duration (or partial duration)</w:t>
      </w:r>
    </w:p>
    <w:p>
      <w:pPr>
        <w:pStyle w:val="FirstParagraph"/>
      </w:pPr>
      <m:oMathPara>
        <m:oMathParaPr>
          <m:jc m:val="center"/>
        </m:oMathParaPr>
        <m:oMath>
          <m:r>
            <m:t>K</m:t>
          </m:r>
          <m:r>
            <m:t>e</m:t>
          </m:r>
          <m:r>
            <m:t>y</m:t>
          </m:r>
          <m:r>
            <m:t>R</m:t>
          </m:r>
          <m:r>
            <m:t>a</m:t>
          </m:r>
          <m:r>
            <m:t>t</m:t>
          </m:r>
          <m:r>
            <m:t>e</m:t>
          </m:r>
          <m:r>
            <m:t>D</m:t>
          </m:r>
          <m:r>
            <m:t>u</m:t>
          </m:r>
          <m:sSub>
            <m:e>
              <m:r>
                <m:t>r</m:t>
              </m:r>
            </m:e>
            <m:sub>
              <m:r>
                <m:t>k</m:t>
              </m:r>
            </m:sub>
          </m:sSub>
          <m:r>
            <m:rPr>
              <m:sty m:val="p"/>
            </m:rPr>
            <m:t>=</m:t>
          </m:r>
          <m:r>
            <m:rPr>
              <m:sty m:val="p"/>
            </m:rPr>
            <m:t>−</m:t>
          </m:r>
          <m:f>
            <m:fPr>
              <m:type m:val="bar"/>
            </m:fPr>
            <m:num>
              <m:r>
                <m:t>1</m:t>
              </m:r>
            </m:num>
            <m:den>
              <m:r>
                <m:t>P</m:t>
              </m:r>
              <m:r>
                <m:t>V</m:t>
              </m:r>
            </m:den>
          </m:f>
          <m:r>
            <m:rPr>
              <m:sty m:val="p"/>
            </m:rPr>
            <m:t>×</m:t>
          </m:r>
          <m:f>
            <m:fPr>
              <m:type m:val="bar"/>
            </m:fPr>
            <m:num>
              <m:r>
                <m:t>Δ</m:t>
              </m:r>
              <m:r>
                <m:t>P</m:t>
              </m:r>
              <m:r>
                <m:t>V</m:t>
              </m:r>
            </m:num>
            <m:den>
              <m:r>
                <m:t>Δ</m:t>
              </m:r>
              <m:sSub>
                <m:e>
                  <m:r>
                    <m:t>r</m:t>
                  </m:r>
                </m:e>
                <m:sub>
                  <m:r>
                    <m:t>k</m:t>
                  </m:r>
                </m:sub>
              </m:sSub>
            </m:den>
          </m:f>
        </m:oMath>
      </m:oMathPara>
    </w:p>
    <w:p>
      <w:pPr>
        <w:pStyle w:val="FirstParagraph"/>
      </w:pPr>
      <m:oMathPara>
        <m:oMathParaPr>
          <m:jc m:val="center"/>
        </m:oMathParaPr>
        <m:oMath>
          <m:nary>
            <m:naryPr>
              <m:chr m:val="∑"/>
              <m:limLoc m:val="undOvr"/>
              <m:subHide m:val="off"/>
              <m:supHide m:val="off"/>
            </m:naryPr>
            <m:sub>
              <m:r>
                <m:t>k</m:t>
              </m:r>
              <m:r>
                <m:rPr>
                  <m:sty m:val="p"/>
                </m:rPr>
                <m:t>=</m:t>
              </m:r>
              <m:r>
                <m:t>1</m:t>
              </m:r>
            </m:sub>
            <m:sup>
              <m:r>
                <m:t>n</m:t>
              </m:r>
            </m:sup>
            <m:e>
              <m:r>
                <m:t>K</m:t>
              </m:r>
            </m:e>
          </m:nary>
          <m:r>
            <m:t>e</m:t>
          </m:r>
          <m:r>
            <m:t>y</m:t>
          </m:r>
          <m:r>
            <m:t>R</m:t>
          </m:r>
          <m:r>
            <m:t>a</m:t>
          </m:r>
          <m:r>
            <m:t>t</m:t>
          </m:r>
          <m:r>
            <m:t>e</m:t>
          </m:r>
          <m:r>
            <m:t>D</m:t>
          </m:r>
          <m:r>
            <m:t>u</m:t>
          </m:r>
          <m:sSub>
            <m:e>
              <m:r>
                <m:t>r</m:t>
              </m:r>
            </m:e>
            <m:sub>
              <m:r>
                <m:t>k</m:t>
              </m:r>
            </m:sub>
          </m:sSub>
          <m:r>
            <m:rPr>
              <m:sty m:val="p"/>
            </m:rPr>
            <m:t>=</m:t>
          </m:r>
          <m:r>
            <m:t>E</m:t>
          </m:r>
          <m:r>
            <m:t>f</m:t>
          </m:r>
          <m:r>
            <m:t>f</m:t>
          </m:r>
          <m:r>
            <m:t>D</m:t>
          </m:r>
          <m:r>
            <m:t>u</m:t>
          </m:r>
          <m:r>
            <m:t>r</m:t>
          </m:r>
        </m:oMath>
      </m:oMathPara>
    </w:p>
    <w:p>
      <w:pPr>
        <w:pStyle w:val="Compact"/>
        <w:numPr>
          <w:ilvl w:val="0"/>
          <w:numId w:val="1018"/>
        </w:numPr>
      </w:pPr>
      <w:r>
        <w:t xml:space="preserve">Key rate duration (or partial duration) is a measure of a bond’s sensitivity</w:t>
      </w:r>
      <w:r>
        <w:t xml:space="preserve"> </w:t>
      </w:r>
      <w:r>
        <w:t xml:space="preserve">to a change in the benchmark yield at a specific maturity. Such a measure is</w:t>
      </w:r>
      <w:r>
        <w:t xml:space="preserve"> </w:t>
      </w:r>
      <w:r>
        <w:t xml:space="preserve">important to isolate the price responses of bonds to changes in the rates of</w:t>
      </w:r>
      <w:r>
        <w:t xml:space="preserve"> </w:t>
      </w:r>
      <w:r>
        <w:t xml:space="preserve">key maturities on the benchmark yield curve</w:t>
      </w:r>
      <w:r>
        <w:br/>
      </w:r>
    </w:p>
    <w:p>
      <w:pPr>
        <w:pStyle w:val="Compact"/>
        <w:numPr>
          <w:ilvl w:val="0"/>
          <w:numId w:val="1018"/>
        </w:numPr>
      </w:pPr>
      <w:r>
        <w:t xml:space="preserve">Key rate durations define a security’s price sensitivity over a set of</w:t>
      </w:r>
      <w:r>
        <w:t xml:space="preserve"> </w:t>
      </w:r>
      <w:r>
        <w:t xml:space="preserve">maturities along the yield curve, with the sum of key rate durations being</w:t>
      </w:r>
      <w:r>
        <w:t xml:space="preserve"> </w:t>
      </w:r>
      <w:r>
        <w:t xml:space="preserve">equal to the effective duration, as shown in Equation 4 and Equation 5:</w:t>
      </w:r>
    </w:p>
    <w:p>
      <w:pPr>
        <w:pStyle w:val="FirstParagraph"/>
      </w:pPr>
      <w:r>
        <w:t xml:space="preserve">Where:</w:t>
      </w:r>
    </w:p>
    <w:p>
      <w:pPr>
        <w:pStyle w:val="Compact"/>
        <w:numPr>
          <w:ilvl w:val="0"/>
          <w:numId w:val="1019"/>
        </w:numPr>
      </w:pPr>
      <m:oMath>
        <m:sSub>
          <m:e>
            <m:r>
              <m:t>r</m:t>
            </m:r>
          </m:e>
          <m:sub>
            <m:r>
              <m:t>k</m:t>
            </m:r>
          </m:sub>
        </m:sSub>
      </m:oMath>
      <w:r>
        <w:t xml:space="preserve"> </w:t>
      </w:r>
      <w:r>
        <w:t xml:space="preserve">represents the</w:t>
      </w:r>
      <w:r>
        <w:t xml:space="preserve"> </w:t>
      </w:r>
      <m:oMath>
        <m:r>
          <m:t>k</m:t>
        </m:r>
      </m:oMath>
      <w:r>
        <w:t xml:space="preserve"> </w:t>
      </w:r>
      <w:r>
        <w:t xml:space="preserve">th key rate.</w:t>
      </w:r>
    </w:p>
    <w:p>
      <w:pPr>
        <w:pStyle w:val="Compact"/>
        <w:numPr>
          <w:ilvl w:val="0"/>
          <w:numId w:val="1019"/>
        </w:numPr>
      </w:pPr>
      <w:r>
        <w:t xml:space="preserve">In contrast to effective duration, key rate durations help identify</w:t>
      </w:r>
      <w:r>
        <w:t xml:space="preserve"> </w:t>
      </w:r>
      <w:r>
        <w:t xml:space="preserve">“shaping risk”</w:t>
      </w:r>
      <w:r>
        <w:t xml:space="preserve"> </w:t>
      </w:r>
      <w:r>
        <w:t xml:space="preserve">for a bond—that is, a bond’s sensitivity to changes in the</w:t>
      </w:r>
      <w:r>
        <w:t xml:space="preserve"> </w:t>
      </w:r>
      <w:r>
        <w:t xml:space="preserve">shape of the benchmark yield curve (e.g., the yield curve becoming steeper</w:t>
      </w:r>
      <w:r>
        <w:t xml:space="preserve"> </w:t>
      </w:r>
      <w:r>
        <w:t xml:space="preserve">or flatter or twisting).</w:t>
      </w:r>
    </w:p>
    <w:p>
      <w:r>
        <w:pict>
          <v:rect style="width:0;height:1.5pt" o:hralign="center" o:hrstd="t" o:hr="t"/>
        </w:pict>
      </w:r>
    </w:p>
    <w:bookmarkEnd w:id="23"/>
    <w:bookmarkStart w:id="24" w:name="expected-estimated-price-change"/>
    <w:p>
      <w:pPr>
        <w:pStyle w:val="Heading3"/>
      </w:pPr>
      <w:r>
        <w:t xml:space="preserve">Expected Estimated Price Change</w:t>
      </w:r>
    </w:p>
    <w:p>
      <w:pPr>
        <w:pStyle w:val="FirstParagraph"/>
      </w:pPr>
      <m:oMathPara>
        <m:oMathParaPr>
          <m:jc m:val="center"/>
        </m:oMathParaPr>
        <m:oMath>
          <m:f>
            <m:fPr>
              <m:type m:val="bar"/>
            </m:fPr>
            <m:num>
              <m:r>
                <m:t>Δ</m:t>
              </m:r>
              <m:r>
                <m:t>P</m:t>
              </m:r>
              <m:r>
                <m:t>V</m:t>
              </m:r>
            </m:num>
            <m:den>
              <m:r>
                <m:t>P</m:t>
              </m:r>
              <m:r>
                <m:t>V</m:t>
              </m:r>
            </m:den>
          </m:f>
          <m:r>
            <m:rPr>
              <m:sty m:val="p"/>
            </m:rPr>
            <m:t>=</m:t>
          </m:r>
          <m:r>
            <m:rPr>
              <m:sty m:val="p"/>
            </m:rPr>
            <m:t>−</m:t>
          </m:r>
          <m:r>
            <m:t>K</m:t>
          </m:r>
          <m:r>
            <m:t>e</m:t>
          </m:r>
          <m:r>
            <m:t>y</m:t>
          </m:r>
          <m:r>
            <m:t>R</m:t>
          </m:r>
          <m:r>
            <m:t>a</m:t>
          </m:r>
          <m:r>
            <m:t>t</m:t>
          </m:r>
          <m:r>
            <m:t>e</m:t>
          </m:r>
          <m:r>
            <m:t>D</m:t>
          </m:r>
          <m:r>
            <m:t>u</m:t>
          </m:r>
          <m:sSub>
            <m:e>
              <m:r>
                <m:t>r</m:t>
              </m:r>
            </m:e>
            <m:sub>
              <m:r>
                <m:t>k</m:t>
              </m:r>
            </m:sub>
          </m:sSub>
          <m:r>
            <m:rPr>
              <m:sty m:val="p"/>
            </m:rPr>
            <m:t>×</m:t>
          </m:r>
          <m:r>
            <m:t>Δ</m:t>
          </m:r>
          <m:sSub>
            <m:e>
              <m:r>
                <m:t>r</m:t>
              </m:r>
            </m:e>
            <m:sub>
              <m:r>
                <m:t>k</m:t>
              </m:r>
            </m:sub>
          </m:sSub>
        </m:oMath>
      </m:oMathPara>
    </w:p>
    <w:p>
      <w:pPr>
        <w:pStyle w:val="Compact"/>
        <w:numPr>
          <w:ilvl w:val="0"/>
          <w:numId w:val="1020"/>
        </w:numPr>
      </w:pPr>
      <w:r>
        <w:t xml:space="preserve">Equation 6 rearranges terms from Equation 4 to solve for</w:t>
      </w:r>
      <w:r>
        <w:t xml:space="preserve"> </w:t>
      </w:r>
      <m:oMath>
        <m:r>
          <m:t>Δ</m:t>
        </m:r>
        <m:r>
          <m:t>P</m:t>
        </m:r>
        <m:r>
          <m:t>V</m:t>
        </m:r>
        <m:r>
          <m:rPr>
            <m:sty m:val="p"/>
          </m:rPr>
          <m:t>/</m:t>
        </m:r>
        <m:r>
          <m:t>P</m:t>
        </m:r>
        <m:r>
          <m:t>V</m:t>
        </m:r>
      </m:oMath>
      <w:r>
        <w:t xml:space="preserve"> </w:t>
      </w:r>
      <w:r>
        <w:t xml:space="preserve">(or</w:t>
      </w:r>
      <w:r>
        <w:t xml:space="preserve"> </w:t>
      </w:r>
      <m:oMath>
        <m:r>
          <m:rPr>
            <m:sty m:val="p"/>
          </m:rPr>
          <m:t>%</m:t>
        </m:r>
        <m:r>
          <m:t>Δ</m:t>
        </m:r>
        <m:r>
          <m:t>P</m:t>
        </m:r>
        <m:sSup>
          <m:e>
            <m:r>
              <m:t>V</m:t>
            </m:r>
          </m:e>
          <m:sup>
            <m:r>
              <m:t>F</m:t>
            </m:r>
            <m:r>
              <m:t>u</m:t>
            </m:r>
            <m:r>
              <m:t>l</m:t>
            </m:r>
            <m:r>
              <m:t>l</m:t>
            </m:r>
          </m:sup>
        </m:sSup>
      </m:oMath>
      <w:r>
        <w:t xml:space="preserve">):</w:t>
      </w:r>
    </w:p>
    <w:p>
      <w:r>
        <w:pict>
          <v:rect style="width:0;height:1.5pt" o:hralign="center" o:hrstd="t" o:hr="t"/>
        </w:pict>
      </w:r>
    </w:p>
    <w:bookmarkEnd w:id="24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9431">
    <w:nsid w:val="00A99431"/>
    <w:multiLevelType w:val="multilevel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decimal"/>
      <w:lvlText w:val="(%2)"/>
      <w:lvlJc w:val="left"/>
      <w:pPr>
        <w:ind w:left="1440" w:hanging="360"/>
      </w:pPr>
    </w:lvl>
    <w:lvl w:ilvl="2">
      <w:start w:val="1"/>
      <w:numFmt w:val="decimal"/>
      <w:lvlText w:val="(%3)"/>
      <w:lvlJc w:val="left"/>
      <w:pPr>
        <w:ind w:left="2160" w:hanging="360"/>
      </w:pPr>
    </w:lvl>
    <w:lvl w:ilvl="3">
      <w:start w:val="1"/>
      <w:numFmt w:val="decimal"/>
      <w:lvlText w:val="(%4)"/>
      <w:lvlJc w:val="left"/>
      <w:pPr>
        <w:ind w:left="2880" w:hanging="360"/>
      </w:pPr>
    </w:lvl>
    <w:lvl w:ilvl="4">
      <w:start w:val="1"/>
      <w:numFmt w:val="decimal"/>
      <w:lvlText w:val="(%5)"/>
      <w:lvlJc w:val="left"/>
      <w:pPr>
        <w:ind w:left="3600" w:hanging="360"/>
      </w:pPr>
    </w:lvl>
    <w:lvl w:ilvl="5">
      <w:start w:val="1"/>
      <w:numFmt w:val="decimal"/>
      <w:lvlText w:val="(%6)"/>
      <w:lvlJc w:val="left"/>
      <w:pPr>
        <w:ind w:left="4320" w:hanging="360"/>
      </w:pPr>
    </w:lvl>
    <w:lvl w:ilvl="6">
      <w:start w:val="1"/>
      <w:numFmt w:val="decimal"/>
      <w:lvlText w:val="(%7)"/>
      <w:lvlJc w:val="left"/>
      <w:pPr>
        <w:ind w:left="5040" w:hanging="360"/>
      </w:pPr>
    </w:lvl>
    <w:lvl w:ilvl="7">
      <w:start w:val="1"/>
      <w:numFmt w:val="decimal"/>
      <w:lvlText w:val="(%8)"/>
      <w:lvlJc w:val="left"/>
      <w:pPr>
        <w:ind w:left="5760" w:hanging="360"/>
      </w:pPr>
    </w:lvl>
    <w:lvl w:ilvl="8">
      <w:start w:val="1"/>
      <w:numFmt w:val="decimal"/>
      <w:lvlText w:val="(%9)"/>
      <w:lvlJc w:val="left"/>
      <w:pPr>
        <w:ind w:left="6480" w:hanging="360"/>
      </w:pPr>
    </w:lvl>
  </w:abstractNum>
  <w:abstractNum w:abstractNumId="99432">
    <w:nsid w:val="00A99432"/>
    <w:multiLevelType w:val="multilevel"/>
    <w:lvl w:ilvl="0">
      <w:start w:val="2"/>
      <w:numFmt w:val="decimal"/>
      <w:lvlText w:val="(%1)"/>
      <w:lvlJc w:val="left"/>
      <w:pPr>
        <w:ind w:left="720" w:hanging="360"/>
      </w:pPr>
    </w:lvl>
    <w:lvl w:ilvl="1">
      <w:start w:val="2"/>
      <w:numFmt w:val="decimal"/>
      <w:lvlText w:val="(%2)"/>
      <w:lvlJc w:val="left"/>
      <w:pPr>
        <w:ind w:left="1440" w:hanging="360"/>
      </w:pPr>
    </w:lvl>
    <w:lvl w:ilvl="2">
      <w:start w:val="2"/>
      <w:numFmt w:val="decimal"/>
      <w:lvlText w:val="(%3)"/>
      <w:lvlJc w:val="left"/>
      <w:pPr>
        <w:ind w:left="2160" w:hanging="360"/>
      </w:pPr>
    </w:lvl>
    <w:lvl w:ilvl="3">
      <w:start w:val="2"/>
      <w:numFmt w:val="decimal"/>
      <w:lvlText w:val="(%4)"/>
      <w:lvlJc w:val="left"/>
      <w:pPr>
        <w:ind w:left="2880" w:hanging="360"/>
      </w:pPr>
    </w:lvl>
    <w:lvl w:ilvl="4">
      <w:start w:val="2"/>
      <w:numFmt w:val="decimal"/>
      <w:lvlText w:val="(%5)"/>
      <w:lvlJc w:val="left"/>
      <w:pPr>
        <w:ind w:left="3600" w:hanging="360"/>
      </w:pPr>
    </w:lvl>
    <w:lvl w:ilvl="5">
      <w:start w:val="2"/>
      <w:numFmt w:val="decimal"/>
      <w:lvlText w:val="(%6)"/>
      <w:lvlJc w:val="left"/>
      <w:pPr>
        <w:ind w:left="4320" w:hanging="360"/>
      </w:pPr>
    </w:lvl>
    <w:lvl w:ilvl="6">
      <w:start w:val="2"/>
      <w:numFmt w:val="decimal"/>
      <w:lvlText w:val="(%7)"/>
      <w:lvlJc w:val="left"/>
      <w:pPr>
        <w:ind w:left="5040" w:hanging="360"/>
      </w:pPr>
    </w:lvl>
    <w:lvl w:ilvl="7">
      <w:start w:val="2"/>
      <w:numFmt w:val="decimal"/>
      <w:lvlText w:val="(%8)"/>
      <w:lvlJc w:val="left"/>
      <w:pPr>
        <w:ind w:left="5760" w:hanging="360"/>
      </w:pPr>
    </w:lvl>
    <w:lvl w:ilvl="8">
      <w:start w:val="2"/>
      <w:numFmt w:val="decimal"/>
      <w:lvlText w:val="(%9)"/>
      <w:lvlJc w:val="left"/>
      <w:pPr>
        <w:ind w:left="6480" w:hanging="360"/>
      </w:pPr>
    </w:lvl>
  </w:abstractNum>
  <w:abstractNum w:abstractNumId="99433">
    <w:nsid w:val="00A99433"/>
    <w:multiLevelType w:val="multilevel"/>
    <w:lvl w:ilvl="0">
      <w:start w:val="3"/>
      <w:numFmt w:val="decimal"/>
      <w:lvlText w:val="(%1)"/>
      <w:lvlJc w:val="left"/>
      <w:pPr>
        <w:ind w:left="720" w:hanging="360"/>
      </w:pPr>
    </w:lvl>
    <w:lvl w:ilvl="1">
      <w:start w:val="3"/>
      <w:numFmt w:val="decimal"/>
      <w:lvlText w:val="(%2)"/>
      <w:lvlJc w:val="left"/>
      <w:pPr>
        <w:ind w:left="1440" w:hanging="360"/>
      </w:pPr>
    </w:lvl>
    <w:lvl w:ilvl="2">
      <w:start w:val="3"/>
      <w:numFmt w:val="decimal"/>
      <w:lvlText w:val="(%3)"/>
      <w:lvlJc w:val="left"/>
      <w:pPr>
        <w:ind w:left="2160" w:hanging="360"/>
      </w:pPr>
    </w:lvl>
    <w:lvl w:ilvl="3">
      <w:start w:val="3"/>
      <w:numFmt w:val="decimal"/>
      <w:lvlText w:val="(%4)"/>
      <w:lvlJc w:val="left"/>
      <w:pPr>
        <w:ind w:left="2880" w:hanging="360"/>
      </w:pPr>
    </w:lvl>
    <w:lvl w:ilvl="4">
      <w:start w:val="3"/>
      <w:numFmt w:val="decimal"/>
      <w:lvlText w:val="(%5)"/>
      <w:lvlJc w:val="left"/>
      <w:pPr>
        <w:ind w:left="3600" w:hanging="360"/>
      </w:pPr>
    </w:lvl>
    <w:lvl w:ilvl="5">
      <w:start w:val="3"/>
      <w:numFmt w:val="decimal"/>
      <w:lvlText w:val="(%6)"/>
      <w:lvlJc w:val="left"/>
      <w:pPr>
        <w:ind w:left="4320" w:hanging="360"/>
      </w:pPr>
    </w:lvl>
    <w:lvl w:ilvl="6">
      <w:start w:val="3"/>
      <w:numFmt w:val="decimal"/>
      <w:lvlText w:val="(%7)"/>
      <w:lvlJc w:val="left"/>
      <w:pPr>
        <w:ind w:left="5040" w:hanging="360"/>
      </w:pPr>
    </w:lvl>
    <w:lvl w:ilvl="7">
      <w:start w:val="3"/>
      <w:numFmt w:val="decimal"/>
      <w:lvlText w:val="(%8)"/>
      <w:lvlJc w:val="left"/>
      <w:pPr>
        <w:ind w:left="5760" w:hanging="360"/>
      </w:pPr>
    </w:lvl>
    <w:lvl w:ilvl="8">
      <w:start w:val="3"/>
      <w:numFmt w:val="decimal"/>
      <w:lvlText w:val="(%9)"/>
      <w:lvlJc w:val="left"/>
      <w:pPr>
        <w:ind w:left="6480" w:hanging="360"/>
      </w:pPr>
    </w:lvl>
  </w:abstractNum>
  <w:abstractNum w:abstractNumId="99434">
    <w:nsid w:val="00A99434"/>
    <w:multiLevelType w:val="multilevel"/>
    <w:lvl w:ilvl="0">
      <w:start w:val="4"/>
      <w:numFmt w:val="decimal"/>
      <w:lvlText w:val="(%1)"/>
      <w:lvlJc w:val="left"/>
      <w:pPr>
        <w:ind w:left="720" w:hanging="360"/>
      </w:pPr>
    </w:lvl>
    <w:lvl w:ilvl="1">
      <w:start w:val="4"/>
      <w:numFmt w:val="decimal"/>
      <w:lvlText w:val="(%2)"/>
      <w:lvlJc w:val="left"/>
      <w:pPr>
        <w:ind w:left="1440" w:hanging="360"/>
      </w:pPr>
    </w:lvl>
    <w:lvl w:ilvl="2">
      <w:start w:val="4"/>
      <w:numFmt w:val="decimal"/>
      <w:lvlText w:val="(%3)"/>
      <w:lvlJc w:val="left"/>
      <w:pPr>
        <w:ind w:left="2160" w:hanging="360"/>
      </w:pPr>
    </w:lvl>
    <w:lvl w:ilvl="3">
      <w:start w:val="4"/>
      <w:numFmt w:val="decimal"/>
      <w:lvlText w:val="(%4)"/>
      <w:lvlJc w:val="left"/>
      <w:pPr>
        <w:ind w:left="2880" w:hanging="360"/>
      </w:pPr>
    </w:lvl>
    <w:lvl w:ilvl="4">
      <w:start w:val="4"/>
      <w:numFmt w:val="decimal"/>
      <w:lvlText w:val="(%5)"/>
      <w:lvlJc w:val="left"/>
      <w:pPr>
        <w:ind w:left="3600" w:hanging="360"/>
      </w:pPr>
    </w:lvl>
    <w:lvl w:ilvl="5">
      <w:start w:val="4"/>
      <w:numFmt w:val="decimal"/>
      <w:lvlText w:val="(%6)"/>
      <w:lvlJc w:val="left"/>
      <w:pPr>
        <w:ind w:left="4320" w:hanging="360"/>
      </w:pPr>
    </w:lvl>
    <w:lvl w:ilvl="6">
      <w:start w:val="4"/>
      <w:numFmt w:val="decimal"/>
      <w:lvlText w:val="(%7)"/>
      <w:lvlJc w:val="left"/>
      <w:pPr>
        <w:ind w:left="5040" w:hanging="360"/>
      </w:pPr>
    </w:lvl>
    <w:lvl w:ilvl="7">
      <w:start w:val="4"/>
      <w:numFmt w:val="decimal"/>
      <w:lvlText w:val="(%8)"/>
      <w:lvlJc w:val="left"/>
      <w:pPr>
        <w:ind w:left="5760" w:hanging="360"/>
      </w:pPr>
    </w:lvl>
    <w:lvl w:ilvl="8">
      <w:start w:val="4"/>
      <w:numFmt w:val="decimal"/>
      <w:lvlText w:val="(%9)"/>
      <w:lvlJc w:val="left"/>
      <w:pPr>
        <w:ind w:left="6480" w:hanging="360"/>
      </w:pPr>
    </w:lvl>
  </w:abstractNum>
  <w:abstractNum w:abstractNumId="99435">
    <w:nsid w:val="00A99435"/>
    <w:multiLevelType w:val="multilevel"/>
    <w:lvl w:ilvl="0">
      <w:start w:val="5"/>
      <w:numFmt w:val="decimal"/>
      <w:lvlText w:val="(%1)"/>
      <w:lvlJc w:val="left"/>
      <w:pPr>
        <w:ind w:left="720" w:hanging="360"/>
      </w:pPr>
    </w:lvl>
    <w:lvl w:ilvl="1">
      <w:start w:val="5"/>
      <w:numFmt w:val="decimal"/>
      <w:lvlText w:val="(%2)"/>
      <w:lvlJc w:val="left"/>
      <w:pPr>
        <w:ind w:left="1440" w:hanging="360"/>
      </w:pPr>
    </w:lvl>
    <w:lvl w:ilvl="2">
      <w:start w:val="5"/>
      <w:numFmt w:val="decimal"/>
      <w:lvlText w:val="(%3)"/>
      <w:lvlJc w:val="left"/>
      <w:pPr>
        <w:ind w:left="2160" w:hanging="360"/>
      </w:pPr>
    </w:lvl>
    <w:lvl w:ilvl="3">
      <w:start w:val="5"/>
      <w:numFmt w:val="decimal"/>
      <w:lvlText w:val="(%4)"/>
      <w:lvlJc w:val="left"/>
      <w:pPr>
        <w:ind w:left="2880" w:hanging="360"/>
      </w:pPr>
    </w:lvl>
    <w:lvl w:ilvl="4">
      <w:start w:val="5"/>
      <w:numFmt w:val="decimal"/>
      <w:lvlText w:val="(%5)"/>
      <w:lvlJc w:val="left"/>
      <w:pPr>
        <w:ind w:left="3600" w:hanging="360"/>
      </w:pPr>
    </w:lvl>
    <w:lvl w:ilvl="5">
      <w:start w:val="5"/>
      <w:numFmt w:val="decimal"/>
      <w:lvlText w:val="(%6)"/>
      <w:lvlJc w:val="left"/>
      <w:pPr>
        <w:ind w:left="4320" w:hanging="360"/>
      </w:pPr>
    </w:lvl>
    <w:lvl w:ilvl="6">
      <w:start w:val="5"/>
      <w:numFmt w:val="decimal"/>
      <w:lvlText w:val="(%7)"/>
      <w:lvlJc w:val="left"/>
      <w:pPr>
        <w:ind w:left="5040" w:hanging="360"/>
      </w:pPr>
    </w:lvl>
    <w:lvl w:ilvl="7">
      <w:start w:val="5"/>
      <w:numFmt w:val="decimal"/>
      <w:lvlText w:val="(%8)"/>
      <w:lvlJc w:val="left"/>
      <w:pPr>
        <w:ind w:left="5760" w:hanging="360"/>
      </w:pPr>
    </w:lvl>
    <w:lvl w:ilvl="8">
      <w:start w:val="5"/>
      <w:numFmt w:val="decimal"/>
      <w:lvlText w:val="(%9)"/>
      <w:lvlJc w:val="left"/>
      <w:pPr>
        <w:ind w:left="6480" w:hanging="36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4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432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  <w:lvlOverride w:ilvl="7">
      <w:startOverride w:val="2"/>
    </w:lvlOverride>
    <w:lvlOverride w:ilvl="8">
      <w:startOverride w:val="2"/>
    </w:lvlOverride>
  </w:num>
  <w:num w:numId="1006">
    <w:abstractNumId w:val="99433"/>
    <w:lvlOverride w:ilvl="0">
      <w:startOverride w:val="3"/>
    </w:lvlOverride>
    <w:lvlOverride w:ilvl="1">
      <w:startOverride w:val="3"/>
    </w:lvlOverride>
    <w:lvlOverride w:ilvl="2">
      <w:startOverride w:val="3"/>
    </w:lvlOverride>
    <w:lvlOverride w:ilvl="3">
      <w:startOverride w:val="3"/>
    </w:lvlOverride>
    <w:lvlOverride w:ilvl="4">
      <w:startOverride w:val="3"/>
    </w:lvlOverride>
    <w:lvlOverride w:ilvl="5">
      <w:startOverride w:val="3"/>
    </w:lvlOverride>
    <w:lvlOverride w:ilvl="6">
      <w:startOverride w:val="3"/>
    </w:lvlOverride>
    <w:lvlOverride w:ilvl="7">
      <w:startOverride w:val="3"/>
    </w:lvlOverride>
    <w:lvlOverride w:ilvl="8">
      <w:startOverride w:val="3"/>
    </w:lvlOverride>
  </w:num>
  <w:num w:numId="1007">
    <w:abstractNumId w:val="99434"/>
    <w:lvlOverride w:ilvl="0">
      <w:startOverride w:val="4"/>
    </w:lvlOverride>
    <w:lvlOverride w:ilvl="1">
      <w:startOverride w:val="4"/>
    </w:lvlOverride>
    <w:lvlOverride w:ilvl="2">
      <w:startOverride w:val="4"/>
    </w:lvlOverride>
    <w:lvlOverride w:ilvl="3">
      <w:startOverride w:val="4"/>
    </w:lvlOverride>
    <w:lvlOverride w:ilvl="4">
      <w:startOverride w:val="4"/>
    </w:lvlOverride>
    <w:lvlOverride w:ilvl="5">
      <w:startOverride w:val="4"/>
    </w:lvlOverride>
    <w:lvlOverride w:ilvl="6">
      <w:startOverride w:val="4"/>
    </w:lvlOverride>
    <w:lvlOverride w:ilvl="7">
      <w:startOverride w:val="4"/>
    </w:lvlOverride>
    <w:lvlOverride w:ilvl="8">
      <w:startOverride w:val="4"/>
    </w:lvlOverride>
  </w:num>
  <w:num w:numId="1008">
    <w:abstractNumId w:val="99435"/>
    <w:lvlOverride w:ilvl="0">
      <w:startOverride w:val="5"/>
    </w:lvlOverride>
    <w:lvlOverride w:ilvl="1">
      <w:startOverride w:val="5"/>
    </w:lvlOverride>
    <w:lvlOverride w:ilvl="2">
      <w:startOverride w:val="5"/>
    </w:lvlOverride>
    <w:lvlOverride w:ilvl="3">
      <w:startOverride w:val="5"/>
    </w:lvlOverride>
    <w:lvlOverride w:ilvl="4">
      <w:startOverride w:val="5"/>
    </w:lvlOverride>
    <w:lvlOverride w:ilvl="5">
      <w:startOverride w:val="5"/>
    </w:lvlOverride>
    <w:lvlOverride w:ilvl="6">
      <w:startOverride w:val="5"/>
    </w:lvlOverride>
    <w:lvlOverride w:ilvl="7">
      <w:startOverride w:val="5"/>
    </w:lvlOverride>
    <w:lvlOverride w:ilvl="8">
      <w:startOverride w:val="5"/>
    </w:lvlOverride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4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3">
    <w:abstractNumId w:val="99432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  <w:lvlOverride w:ilvl="7">
      <w:startOverride w:val="2"/>
    </w:lvlOverride>
    <w:lvlOverride w:ilvl="8">
      <w:startOverride w:val="2"/>
    </w:lvlOverride>
  </w:num>
  <w:num w:numId="1014">
    <w:abstractNumId w:val="99433"/>
    <w:lvlOverride w:ilvl="0">
      <w:startOverride w:val="3"/>
    </w:lvlOverride>
    <w:lvlOverride w:ilvl="1">
      <w:startOverride w:val="3"/>
    </w:lvlOverride>
    <w:lvlOverride w:ilvl="2">
      <w:startOverride w:val="3"/>
    </w:lvlOverride>
    <w:lvlOverride w:ilvl="3">
      <w:startOverride w:val="3"/>
    </w:lvlOverride>
    <w:lvlOverride w:ilvl="4">
      <w:startOverride w:val="3"/>
    </w:lvlOverride>
    <w:lvlOverride w:ilvl="5">
      <w:startOverride w:val="3"/>
    </w:lvlOverride>
    <w:lvlOverride w:ilvl="6">
      <w:startOverride w:val="3"/>
    </w:lvlOverride>
    <w:lvlOverride w:ilvl="7">
      <w:startOverride w:val="3"/>
    </w:lvlOverride>
    <w:lvlOverride w:ilvl="8">
      <w:startOverride w:val="3"/>
    </w:lvlOverride>
  </w:num>
  <w:num w:numId="1015">
    <w:abstractNumId w:val="99434"/>
    <w:lvlOverride w:ilvl="0">
      <w:startOverride w:val="4"/>
    </w:lvlOverride>
    <w:lvlOverride w:ilvl="1">
      <w:startOverride w:val="4"/>
    </w:lvlOverride>
    <w:lvlOverride w:ilvl="2">
      <w:startOverride w:val="4"/>
    </w:lvlOverride>
    <w:lvlOverride w:ilvl="3">
      <w:startOverride w:val="4"/>
    </w:lvlOverride>
    <w:lvlOverride w:ilvl="4">
      <w:startOverride w:val="4"/>
    </w:lvlOverride>
    <w:lvlOverride w:ilvl="5">
      <w:startOverride w:val="4"/>
    </w:lvlOverride>
    <w:lvlOverride w:ilvl="6">
      <w:startOverride w:val="4"/>
    </w:lvlOverride>
    <w:lvlOverride w:ilvl="7">
      <w:startOverride w:val="4"/>
    </w:lvlOverride>
    <w:lvlOverride w:ilvl="8">
      <w:startOverride w:val="4"/>
    </w:lvlOverride>
  </w:num>
  <w:num w:numId="1016">
    <w:abstractNumId w:val="99435"/>
    <w:lvlOverride w:ilvl="0">
      <w:startOverride w:val="5"/>
    </w:lvlOverride>
    <w:lvlOverride w:ilvl="1">
      <w:startOverride w:val="5"/>
    </w:lvlOverride>
    <w:lvlOverride w:ilvl="2">
      <w:startOverride w:val="5"/>
    </w:lvlOverride>
    <w:lvlOverride w:ilvl="3">
      <w:startOverride w:val="5"/>
    </w:lvlOverride>
    <w:lvlOverride w:ilvl="4">
      <w:startOverride w:val="5"/>
    </w:lvlOverride>
    <w:lvlOverride w:ilvl="5">
      <w:startOverride w:val="5"/>
    </w:lvlOverride>
    <w:lvlOverride w:ilvl="6">
      <w:startOverride w:val="5"/>
    </w:lvlOverride>
    <w:lvlOverride w:ilvl="7">
      <w:startOverride w:val="5"/>
    </w:lvlOverride>
    <w:lvlOverride w:ilvl="8">
      <w:startOverride w:val="5"/>
    </w:lvlOverride>
  </w:num>
  <w:num w:numId="1017">
    <w:abstractNumId w:val="991"/>
  </w:num>
  <w:num w:numId="1018">
    <w:abstractNumId w:val="991"/>
  </w:num>
  <w:num w:numId="1019">
    <w:abstractNumId w:val="991"/>
  </w:num>
  <w:num w:numId="102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Learning Module 13: Curve-Based and Empirical Fixed-Income Risk Measures</dc:title>
  <dc:creator/>
  <cp:keywords/>
  <dcterms:created xsi:type="dcterms:W3CDTF">2026-03-12T21:50:07Z</dcterms:created>
  <dcterms:modified xsi:type="dcterms:W3CDTF">2026-03-12T21:50:07Z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iblio-config">
    <vt:lpwstr>True</vt:lpwstr>
  </property>
  <property fmtid="{D5CDD505-2E9C-101B-9397-08002B2CF9AE}" pid="3" name="header-includes">
    <vt:lpwstr/>
  </property>
  <property fmtid="{D5CDD505-2E9C-101B-9397-08002B2CF9AE}" pid="4" name="include-after">
    <vt:lpwstr/>
  </property>
  <property fmtid="{D5CDD505-2E9C-101B-9397-08002B2CF9AE}" pid="5" name="include-before">
    <vt:lpwstr/>
  </property>
  <property fmtid="{D5CDD505-2E9C-101B-9397-08002B2CF9AE}" pid="6" name="labels">
    <vt:lpwstr/>
  </property>
  <property fmtid="{D5CDD505-2E9C-101B-9397-08002B2CF9AE}" pid="7" name="subtitle">
    <vt:lpwstr>Fixed Income</vt:lpwstr>
  </property>
  <property fmtid="{D5CDD505-2E9C-101B-9397-08002B2CF9AE}" pid="8" name="toc-title">
    <vt:lpwstr>Table of contents</vt:lpwstr>
  </property>
</Properties>
</file>