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12: Yield-Based Bond Convexity and Portfolio Properties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X7132ac721f160f241571e124f9c14bb5cad32f8"/>
    <w:p>
      <w:pPr>
        <w:pStyle w:val="Heading3"/>
      </w:pPr>
      <w:r>
        <w:t xml:space="preserve">Estimate percentage (full) change using modified duration by itself</w:t>
      </w:r>
    </w:p>
    <w:p>
      <w:pPr>
        <w:pStyle w:val="FirstParagraph"/>
      </w:pPr>
      <w:r>
        <w:t xml:space="preserve">As shown in Equation 1, convexity adds to the estimate of the percentage</w:t>
      </w:r>
      <w:r>
        <w:t xml:space="preserve"> </w:t>
      </w:r>
      <w:r>
        <w:t xml:space="preserve">(full) price change provided when using modified duration by itself, which</w:t>
      </w:r>
      <w:r>
        <w:t xml:space="preserve"> </w:t>
      </w:r>
      <w:r>
        <w:t xml:space="preserve">was used in prior lessons.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%</m:t>
          </m:r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≈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t>A</m:t>
              </m:r>
              <m:r>
                <m:t>n</m:t>
              </m:r>
              <m:r>
                <m:t>n</m:t>
              </m:r>
              <m:r>
                <m:t>M</m:t>
              </m:r>
              <m:r>
                <m:t>o</m:t>
              </m:r>
              <m:r>
                <m:t>d</m:t>
              </m:r>
              <m:r>
                <m:t>D</m:t>
              </m:r>
              <m:r>
                <m:t>u</m:t>
              </m:r>
              <m:r>
                <m:t>r</m:t>
              </m:r>
              <m:r>
                <m:rPr>
                  <m:sty m:val="p"/>
                </m:rPr>
                <m:t>×</m:t>
              </m:r>
              <m:r>
                <m:t>Δ</m:t>
              </m:r>
              <m:r>
                <m:t>Y</m:t>
              </m:r>
              <m:r>
                <m:t>i</m:t>
              </m:r>
              <m:r>
                <m:t>e</m:t>
              </m:r>
              <m:r>
                <m:t>l</m:t>
              </m:r>
              <m:r>
                <m:t>d</m:t>
              </m:r>
            </m:e>
          </m:d>
          <m:r>
            <m:rPr>
              <m:sty m:val="p"/>
            </m:rPr>
            <m:t>+</m:t>
          </m:r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×</m:t>
              </m:r>
              <m:r>
                <m:t>A</m:t>
              </m:r>
              <m:r>
                <m:t>n</m:t>
              </m:r>
              <m:r>
                <m:t>n</m:t>
              </m:r>
              <m:r>
                <m:t>C</m:t>
              </m:r>
              <m:r>
                <m:t>o</m:t>
              </m:r>
              <m:r>
                <m:t>n</m:t>
              </m:r>
              <m:r>
                <m:t>v</m:t>
              </m:r>
              <m:r>
                <m:t>e</m:t>
              </m:r>
              <m:r>
                <m:t>x</m:t>
              </m:r>
              <m:r>
                <m:t>i</m:t>
              </m:r>
              <m:r>
                <m:t>t</m:t>
              </m:r>
              <m:r>
                <m:t>y</m:t>
              </m:r>
              <m:r>
                <m:rPr>
                  <m:sty m:val="p"/>
                </m:rPr>
                <m:t>×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Y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l</m:t>
                      </m:r>
                      <m:r>
                        <m:t>d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Compact"/>
        <w:numPr>
          <w:ilvl w:val="0"/>
          <w:numId w:val="1001"/>
        </w:numPr>
      </w:pPr>
      <w:r>
        <w:t xml:space="preserve">The first expression in parentheses is the effect from modified duration.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The expression in brackets is the convexity adjustment: the annual convexity</w:t>
      </w:r>
      <w:r>
        <w:t xml:space="preserve"> </w:t>
      </w:r>
      <w:r>
        <w:t xml:space="preserve">statistic,</w:t>
      </w:r>
      <w:r>
        <w:t xml:space="preserve"> </w:t>
      </w:r>
      <m:oMath>
        <m:r>
          <m:t>A</m:t>
        </m:r>
        <m:r>
          <m:t>n</m:t>
        </m:r>
        <m:r>
          <m:t>n</m:t>
        </m:r>
        <m:r>
          <m:t>C</m:t>
        </m:r>
        <m:r>
          <m:t>o</m:t>
        </m:r>
        <m:r>
          <m:t>n</m:t>
        </m:r>
        <m:r>
          <m:t>v</m:t>
        </m:r>
        <m:r>
          <m:t>e</m:t>
        </m:r>
        <m:r>
          <m:t>x</m:t>
        </m:r>
        <m:r>
          <m:t>i</m:t>
        </m:r>
        <m:r>
          <m:t>t</m:t>
        </m:r>
        <m:r>
          <m:t>y</m:t>
        </m:r>
      </m:oMath>
      <w:r>
        <w:t xml:space="preserve">, times one-half times the change in the</w:t>
      </w:r>
      <w:r>
        <w:t xml:space="preserve"> </w:t>
      </w:r>
      <w:r>
        <w:t xml:space="preserve">yield-to-maturity squared.</w:t>
      </w:r>
    </w:p>
    <w:p>
      <w:pPr>
        <w:pStyle w:val="Compact"/>
        <w:numPr>
          <w:ilvl w:val="1"/>
          <w:numId w:val="1002"/>
        </w:numPr>
      </w:pPr>
      <w:r>
        <w:t xml:space="preserve">This term is always positive for an option-free fixed-rate bond, so, as</w:t>
      </w:r>
      <w:r>
        <w:t xml:space="preserve"> </w:t>
      </w:r>
      <w:r>
        <w:t xml:space="preserve">noted, the bond price is higher for either an increase or decrease in</w:t>
      </w:r>
      <w:r>
        <w:t xml:space="preserve"> </w:t>
      </w:r>
      <w:r>
        <w:t xml:space="preserve">yield</w:t>
      </w:r>
    </w:p>
    <w:p>
      <w:r>
        <w:pict>
          <v:rect style="width:0;height:1.5pt" o:hralign="center" o:hrstd="t" o:hr="t"/>
        </w:pict>
      </w:r>
    </w:p>
    <w:bookmarkEnd w:id="20"/>
    <w:bookmarkStart w:id="21" w:name="X7cbf3040488723ea0c8f15e1b4ac2aca34ac371"/>
    <w:p>
      <w:pPr>
        <w:pStyle w:val="Heading3"/>
      </w:pPr>
      <w:r>
        <w:t xml:space="preserve">Approximate Annualized Convexity (ApproxCon)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t>p</m:t>
          </m:r>
          <m:r>
            <m:t>p</m:t>
          </m:r>
          <m:r>
            <m:t>r</m:t>
          </m:r>
          <m:r>
            <m:t>o</m:t>
          </m:r>
          <m:r>
            <m:t>x</m:t>
          </m:r>
          <m:r>
            <m:t>C</m:t>
          </m:r>
          <m:r>
            <m:t>o</m:t>
          </m:r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P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Y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l</m:t>
                      </m:r>
                      <m:r>
                        <m:t>d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</m:oMath>
      </m:oMathPara>
    </w:p>
    <w:p>
      <w:pPr>
        <w:pStyle w:val="Compact"/>
        <w:numPr>
          <w:ilvl w:val="0"/>
          <w:numId w:val="1003"/>
        </w:numPr>
      </w:pPr>
      <w:r>
        <w:t xml:space="preserve">This approach is useful for bonds with uncertain cash flows, such as those</w:t>
      </w:r>
      <w:r>
        <w:t xml:space="preserve"> </w:t>
      </w:r>
      <w:r>
        <w:t xml:space="preserve">with contingency features and default risk, which will be explored in later</w:t>
      </w:r>
      <w:r>
        <w:t xml:space="preserve"> </w:t>
      </w:r>
      <w:r>
        <w:t xml:space="preserve">lessons. Note that this equation uses the same inputs as approximating</w:t>
      </w:r>
      <w:r>
        <w:t xml:space="preserve"> </w:t>
      </w:r>
      <w:r>
        <w:t xml:space="preserve">modified duration.</w:t>
      </w:r>
    </w:p>
    <w:p>
      <w:r>
        <w:pict>
          <v:rect style="width:0;height:1.5pt" o:hralign="center" o:hrstd="t" o:hr="t"/>
        </w:pict>
      </w:r>
    </w:p>
    <w:bookmarkEnd w:id="21"/>
    <w:bookmarkStart w:id="22" w:name="money-convenxity-moneycon"/>
    <w:p>
      <w:pPr>
        <w:pStyle w:val="Heading3"/>
      </w:pPr>
      <w:r>
        <w:t xml:space="preserve">Money Convenxity (MoneyCon)</w:t>
      </w:r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t>o</m:t>
          </m:r>
          <m:r>
            <m:t>n</m:t>
          </m:r>
          <m:r>
            <m:t>e</m:t>
          </m:r>
          <m:r>
            <m:t>y</m:t>
          </m:r>
          <m:r>
            <m:t>C</m:t>
          </m:r>
          <m:r>
            <m:t>o</m:t>
          </m:r>
          <m:r>
            <m:t>n</m:t>
          </m:r>
          <m:r>
            <m:rPr>
              <m:sty m:val="p"/>
            </m:rPr>
            <m:t>=</m:t>
          </m:r>
          <m:r>
            <m:t>A</m:t>
          </m:r>
          <m:r>
            <m:t>n</m:t>
          </m:r>
          <m:r>
            <m:t>n</m:t>
          </m:r>
          <m:r>
            <m:t>C</m:t>
          </m:r>
          <m:r>
            <m:t>o</m:t>
          </m:r>
          <m:r>
            <m:t>n</m:t>
          </m:r>
          <m:r>
            <m:t>v</m:t>
          </m:r>
          <m:r>
            <m:t>e</m:t>
          </m:r>
          <m:r>
            <m:t>x</m:t>
          </m:r>
          <m:r>
            <m:t>i</m:t>
          </m:r>
          <m:r>
            <m:t>t</m:t>
          </m:r>
          <m:r>
            <m:t>y</m:t>
          </m:r>
          <m:r>
            <m:rPr>
              <m:sty m:val="p"/>
            </m:rPr>
            <m:t>×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</m:oMath>
      </m:oMathPara>
    </w:p>
    <w:p>
      <w:pPr>
        <w:pStyle w:val="Compact"/>
        <w:numPr>
          <w:ilvl w:val="0"/>
          <w:numId w:val="1004"/>
        </w:numPr>
      </w:pPr>
      <w:r>
        <w:t xml:space="preserve">Recall that money duration indicates the first-order effect on the full</w:t>
      </w:r>
      <w:r>
        <w:t xml:space="preserve"> </w:t>
      </w:r>
      <w:r>
        <w:t xml:space="preserve">price of a bond in currency units given a change in yield-to-maturity. Money</w:t>
      </w:r>
      <w:r>
        <w:t xml:space="preserve"> </w:t>
      </w:r>
      <w:r>
        <w:t xml:space="preserve">convexity (</w:t>
      </w:r>
      <m:oMath>
        <m:r>
          <m:t>M</m:t>
        </m:r>
        <m:r>
          <m:t>o</m:t>
        </m:r>
        <m:r>
          <m:t>n</m:t>
        </m:r>
        <m:r>
          <m:t>e</m:t>
        </m:r>
        <m:r>
          <m:t>y</m:t>
        </m:r>
        <m:r>
          <m:t>C</m:t>
        </m:r>
        <m:r>
          <m:t>o</m:t>
        </m:r>
        <m:r>
          <m:t>n</m:t>
        </m:r>
      </m:oMath>
      <w:r>
        <w:t xml:space="preserve">) captures the second-order effect in currency terms</w:t>
      </w:r>
      <w:r>
        <w:t xml:space="preserve"> </w:t>
      </w:r>
      <w:r>
        <w:t xml:space="preserve">and is the annual convexity multiplied by the full price, as in Equation 3.</w:t>
      </w:r>
    </w:p>
    <w:p>
      <w:r>
        <w:pict>
          <v:rect style="width:0;height:1.5pt" o:hralign="center" o:hrstd="t" o:hr="t"/>
        </w:pict>
      </w:r>
    </w:p>
    <w:bookmarkEnd w:id="22"/>
    <w:bookmarkStart w:id="23" w:name="Xe7e297270c88158da61fe15a95a2871543c06f2"/>
    <w:p>
      <w:pPr>
        <w:pStyle w:val="Heading3"/>
      </w:pPr>
      <w:r>
        <w:t xml:space="preserve">Estimate of the change in a bond’s full price</w:t>
      </w:r>
    </w:p>
    <w:p>
      <w:pPr>
        <w:pStyle w:val="FirstParagraph"/>
      </w:pPr>
      <m:oMathPara>
        <m:oMathParaPr>
          <m:jc m:val="center"/>
        </m:oMathParaPr>
        <m:oMath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≈</m:t>
          </m:r>
          <m:r>
            <m:rPr>
              <m:sty m:val="p"/>
            </m:rPr>
            <m:t>−</m:t>
          </m:r>
          <m:d>
            <m:dPr>
              <m:begChr m:val="("/>
              <m:sepChr m:val=""/>
              <m:endChr m:val=")"/>
              <m:grow/>
            </m:dPr>
            <m:e>
              <m:r>
                <m:t>M</m:t>
              </m:r>
              <m:r>
                <m:t>o</m:t>
              </m:r>
              <m:r>
                <m:t>n</m:t>
              </m:r>
              <m:r>
                <m:t>e</m:t>
              </m:r>
              <m:r>
                <m:t>y</m:t>
              </m:r>
              <m:r>
                <m:t>D</m:t>
              </m:r>
              <m:r>
                <m:t>u</m:t>
              </m:r>
              <m:r>
                <m:t>r</m:t>
              </m:r>
              <m:r>
                <m:rPr>
                  <m:sty m:val="p"/>
                </m:rPr>
                <m:t>×</m:t>
              </m:r>
              <m:r>
                <m:t>Δ</m:t>
              </m:r>
              <m:r>
                <m:t>Y</m:t>
              </m:r>
              <m:r>
                <m:t>i</m:t>
              </m:r>
              <m:r>
                <m:t>e</m:t>
              </m:r>
              <m:r>
                <m:t>l</m:t>
              </m:r>
              <m:r>
                <m:t>d</m:t>
              </m:r>
            </m:e>
          </m:d>
          <m:r>
            <m:rPr>
              <m:sty m:val="p"/>
            </m:rPr>
            <m:t>+</m:t>
          </m:r>
          <m:d>
            <m:dPr>
              <m:begChr m:val="["/>
              <m:sepChr m:val=""/>
              <m:endChr m:val="]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×</m:t>
              </m:r>
              <m:r>
                <m:t>M</m:t>
              </m:r>
              <m:r>
                <m:t>o</m:t>
              </m:r>
              <m:r>
                <m:t>n</m:t>
              </m:r>
              <m:r>
                <m:t>e</m:t>
              </m:r>
              <m:r>
                <m:t>y</m:t>
              </m:r>
              <m:r>
                <m:t>C</m:t>
              </m:r>
              <m:r>
                <m:t>o</m:t>
              </m:r>
              <m:r>
                <m:t>n</m:t>
              </m:r>
              <m:r>
                <m:rPr>
                  <m:sty m:val="p"/>
                </m:rPr>
                <m:t>×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Y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l</m:t>
                      </m:r>
                      <m:r>
                        <m:t>d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d>
        </m:oMath>
      </m:oMathPara>
    </w:p>
    <w:p>
      <w:pPr>
        <w:pStyle w:val="Compact"/>
        <w:numPr>
          <w:ilvl w:val="0"/>
          <w:numId w:val="1005"/>
        </w:numPr>
      </w:pPr>
      <w:r>
        <w:t xml:space="preserve">Similar to estimating the percentage change in a bond’s full price,</w:t>
      </w:r>
      <w:r>
        <w:t xml:space="preserve"> </w:t>
      </w:r>
      <m:oMath>
        <m:r>
          <m:t>M</m:t>
        </m:r>
        <m:r>
          <m:t>o</m:t>
        </m:r>
        <m:r>
          <m:t>n</m:t>
        </m:r>
        <m:r>
          <m:t>e</m:t>
        </m:r>
        <m:r>
          <m:t>y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o</m:t>
        </m:r>
        <m:r>
          <m:t>n</m:t>
        </m:r>
        <m:r>
          <m:t>e</m:t>
        </m:r>
        <m:r>
          <m:t>y</m:t>
        </m:r>
        <m:r>
          <m:t>C</m:t>
        </m:r>
        <m:r>
          <m:t>o</m:t>
        </m:r>
        <m:r>
          <m:t>n</m:t>
        </m:r>
      </m:oMath>
      <w:r>
        <w:t xml:space="preserve"> </w:t>
      </w:r>
      <w:r>
        <w:t xml:space="preserve">are combined to achieve a more accurate, thus</w:t>
      </w:r>
      <w:r>
        <w:t xml:space="preserve"> </w:t>
      </w:r>
      <w:r>
        <w:t xml:space="preserve">less risky, estimate of the change in a bond’s full price, as shown in</w:t>
      </w:r>
      <w:r>
        <w:t xml:space="preserve"> </w:t>
      </w:r>
      <w:r>
        <w:t xml:space="preserve">Equation 4.</w:t>
      </w:r>
    </w:p>
    <w:p>
      <w:r>
        <w:pict>
          <v:rect style="width:0;height:1.5pt" o:hralign="center" o:hrstd="t" o:hr="t"/>
        </w:pic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12: Yield-Based Bond Convexity and Portfolio Properties</dc:title>
  <dc:creator/>
  <cp:keywords/>
  <dcterms:created xsi:type="dcterms:W3CDTF">2026-03-12T21:50:06Z</dcterms:created>
  <dcterms:modified xsi:type="dcterms:W3CDTF">2026-03-12T21:50:06Z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