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11: Financial Analysis Techniques</w:t>
      </w:r>
    </w:p>
    <w:p>
      <w:pPr>
        <w:pStyle w:val="Subtitle"/>
      </w:pPr>
      <w:r>
        <w:t xml:space="preserve">FINANCIAL STATEMENT ANALYSIS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bookmarkStart w:id="32" w:name="interpretation-of-activity-ratios"/>
    <w:p>
      <w:pPr>
        <w:pStyle w:val="Heading2"/>
      </w:pPr>
      <w:r>
        <w:t xml:space="preserve">Interpretation of Activity Ratios</w:t>
      </w:r>
    </w:p>
    <w:p>
      <w:r>
        <w:pict>
          <v:rect style="width:0;height:1.5pt" o:hralign="center" o:hrstd="t" o:hr="t"/>
        </w:pict>
      </w:r>
    </w:p>
    <w:bookmarkStart w:id="20" w:name="inventory-turnover"/>
    <w:p>
      <w:pPr>
        <w:pStyle w:val="Heading3"/>
      </w:pPr>
      <w:r>
        <w:t xml:space="preserve">Inventory Turnover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Inventory Turnover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Cost of Sales or Cost of Goods Sold</m:t>
              </m:r>
            </m:num>
            <m:den>
              <m:r>
                <m:rPr>
                  <m:nor/>
                  <m:sty m:val="p"/>
                </m:rPr>
                <m:t>Average Inventory</m:t>
              </m:r>
            </m:den>
          </m:f>
        </m:oMath>
      </m:oMathPara>
    </w:p>
    <w:bookmarkEnd w:id="20"/>
    <w:bookmarkStart w:id="22" w:name="days-of-inventory-on-hand-doh"/>
    <w:p>
      <w:pPr>
        <w:pStyle w:val="Heading3"/>
      </w:pPr>
      <w:r>
        <w:t xml:space="preserve">Days of Inventory on Hand (DOH)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DOH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Number of Days in Period</m:t>
              </m:r>
            </m:num>
            <m:den>
              <m:r>
                <m:rPr>
                  <m:nor/>
                  <m:sty m:val="p"/>
                </m:rPr>
                <m:t>Inventory Turnover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Start w:id="21" w:name="inventory-turnover-and-doh"/>
    <w:p>
      <w:pPr>
        <w:pStyle w:val="Heading4"/>
      </w:pPr>
      <w:r>
        <w:t xml:space="preserve">Inventory Turnover and DOH</w:t>
      </w:r>
    </w:p>
    <w:p>
      <w:pPr>
        <w:pStyle w:val="Compact"/>
        <w:numPr>
          <w:ilvl w:val="0"/>
          <w:numId w:val="1001"/>
        </w:numPr>
      </w:pPr>
      <w:r>
        <w:t xml:space="preserve">Inventory turnover indicates the resources tied up in inventory (i.e.,</w:t>
      </w:r>
      <w:r>
        <w:t xml:space="preserve"> </w:t>
      </w:r>
      <w:r>
        <w:t xml:space="preserve">the carrying costs) and, therefore, can be used to indicate inventory</w:t>
      </w:r>
      <w:r>
        <w:t xml:space="preserve"> </w:t>
      </w:r>
      <w:r>
        <w:t xml:space="preserve">management effectiveness.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In general, inventory turnover and DOH (days of inventory on hand) should be</w:t>
      </w:r>
      <w:r>
        <w:t xml:space="preserve"> </w:t>
      </w:r>
      <w:r>
        <w:t xml:space="preserve">benchmarked against industry norms.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A high inventory turnover ratio relative to industry norms might indicate</w:t>
      </w:r>
      <w:r>
        <w:t xml:space="preserve"> </w:t>
      </w:r>
      <w:r>
        <w:t xml:space="preserve">highly effective inventory management.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Alternatively, a high inventory turnover ratio (and commensurately low DOH)</w:t>
      </w:r>
      <w:r>
        <w:t xml:space="preserve"> </w:t>
      </w:r>
      <w:r>
        <w:t xml:space="preserve">could possibly indicate the company does not carry adequate inventory, so</w:t>
      </w:r>
      <w:r>
        <w:t xml:space="preserve"> </w:t>
      </w:r>
      <w:r>
        <w:t xml:space="preserve">shortages could potentially hurt revenue.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To assess which explanation is more likely, the analyst can compare the</w:t>
      </w:r>
      <w:r>
        <w:t xml:space="preserve"> </w:t>
      </w:r>
      <w:r>
        <w:t xml:space="preserve">company’s revenue growth with that of the industry. Slower growth combined</w:t>
      </w:r>
      <w:r>
        <w:t xml:space="preserve"> </w:t>
      </w:r>
      <w:r>
        <w:t xml:space="preserve">with higher inventory turnover could indicate inadequate inventory levels.</w:t>
      </w:r>
      <w:r>
        <w:t xml:space="preserve"> </w:t>
      </w:r>
      <w:r>
        <w:t xml:space="preserve">Revenue growth at or above the industry’s growth supports the interpretation</w:t>
      </w:r>
      <w:r>
        <w:t xml:space="preserve"> </w:t>
      </w:r>
      <w:r>
        <w:t xml:space="preserve">that the higher turnover reflects greater inventory management efficiency.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A low inventory turnover ratio (and commensurately high DOH) relative to the</w:t>
      </w:r>
      <w:r>
        <w:t xml:space="preserve"> </w:t>
      </w:r>
      <w:r>
        <w:t xml:space="preserve">rest of the industry could be an indicator of slow-moving inventory, perhaps</w:t>
      </w:r>
      <w:r>
        <w:t xml:space="preserve"> </w:t>
      </w:r>
      <w:r>
        <w:t xml:space="preserve">because of technological obsolescence or a change in fashion. Again, comparing</w:t>
      </w:r>
      <w:r>
        <w:t xml:space="preserve"> </w:t>
      </w:r>
      <w:r>
        <w:t xml:space="preserve">the company’s sales growth with the industry can offer insight.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receivables-turnover"/>
    <w:p>
      <w:pPr>
        <w:pStyle w:val="Heading3"/>
      </w:pPr>
      <w:r>
        <w:t xml:space="preserve">Receivables Turnover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Receivables Turnover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r>
                <m:rPr>
                  <m:nor/>
                  <m:sty m:val="p"/>
                </m:rPr>
                <m:t>Average Receivables</m:t>
              </m:r>
            </m:den>
          </m:f>
        </m:oMath>
      </m:oMathPara>
    </w:p>
    <w:bookmarkEnd w:id="23"/>
    <w:bookmarkStart w:id="25" w:name="days-of-sales-outstanding-dso"/>
    <w:p>
      <w:pPr>
        <w:pStyle w:val="Heading3"/>
      </w:pPr>
      <w:r>
        <w:t xml:space="preserve">Days of Sales Outstanding (DSO)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DSO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Number of Days in Period</m:t>
              </m:r>
            </m:num>
            <m:den>
              <m:r>
                <m:rPr>
                  <m:nor/>
                  <m:sty m:val="p"/>
                </m:rPr>
                <m:t>Receivables Turnover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Start w:id="24" w:name="X2009e061ae8c720b057518c511d5556d49df1da"/>
    <w:p>
      <w:pPr>
        <w:pStyle w:val="Heading4"/>
      </w:pPr>
      <w:r>
        <w:t xml:space="preserve">Interpretation of Receivables Turnover and DSO</w:t>
      </w:r>
    </w:p>
    <w:p>
      <w:pPr>
        <w:pStyle w:val="Compact"/>
        <w:numPr>
          <w:ilvl w:val="0"/>
          <w:numId w:val="1002"/>
        </w:numPr>
      </w:pPr>
      <w:r>
        <w:t xml:space="preserve">The number of DSO (days of sales outstanding) reflects how fast the company</w:t>
      </w:r>
      <w:r>
        <w:t xml:space="preserve"> </w:t>
      </w:r>
      <w:r>
        <w:t xml:space="preserve">collects cash from customers to whom it offers credit. Although limiting the</w:t>
      </w:r>
      <w:r>
        <w:t xml:space="preserve"> </w:t>
      </w:r>
      <w:r>
        <w:t xml:space="preserve">numerator to sales made on credit in the receivables turnover would be more</w:t>
      </w:r>
      <w:r>
        <w:t xml:space="preserve"> </w:t>
      </w:r>
      <w:r>
        <w:t xml:space="preserve">appropriate, credit sales information is usually not available to analysts;</w:t>
      </w:r>
      <w:r>
        <w:t xml:space="preserve"> </w:t>
      </w:r>
      <w:r>
        <w:t xml:space="preserve">therefore, revenue as reported in the income statement is generally used.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As with inventory management, comparison of the company’s sales growth</w:t>
      </w:r>
      <w:r>
        <w:t xml:space="preserve"> </w:t>
      </w:r>
      <w:r>
        <w:t xml:space="preserve">relative to the industry can help the analyst assess whether sales are being</w:t>
      </w:r>
      <w:r>
        <w:t xml:space="preserve"> </w:t>
      </w:r>
      <w:r>
        <w:t xml:space="preserve">lost due to stringent credit policies.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In addition, comparing the company’s estimates of uncollectible accounts</w:t>
      </w:r>
      <w:r>
        <w:t xml:space="preserve"> </w:t>
      </w:r>
      <w:r>
        <w:t xml:space="preserve">receivable and actual credit losses with past experience and with peer</w:t>
      </w:r>
      <w:r>
        <w:t xml:space="preserve"> </w:t>
      </w:r>
      <w:r>
        <w:t xml:space="preserve">companies can help assess whether low turnover reflects credit management</w:t>
      </w:r>
      <w:r>
        <w:t xml:space="preserve"> </w:t>
      </w:r>
      <w:r>
        <w:t xml:space="preserve">issues.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Companies often provide details of receivables aging (how much receivables</w:t>
      </w:r>
      <w:r>
        <w:t xml:space="preserve"> </w:t>
      </w:r>
      <w:r>
        <w:t xml:space="preserve">have been outstanding by age). This can be used along with DSO to understand</w:t>
      </w:r>
      <w:r>
        <w:t xml:space="preserve"> </w:t>
      </w:r>
      <w:r>
        <w:t xml:space="preserve">trends in collection.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payables-turnover"/>
    <w:p>
      <w:pPr>
        <w:pStyle w:val="Heading3"/>
      </w:pPr>
      <w:r>
        <w:t xml:space="preserve">Payables Turnover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Payables Turnover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Cost of Sales or Cost of Goods Sold</m:t>
              </m:r>
            </m:num>
            <m:den>
              <m:r>
                <m:rPr>
                  <m:nor/>
                  <m:sty m:val="p"/>
                </m:rPr>
                <m:t>Average Trade Payables</m:t>
              </m:r>
            </m:den>
          </m:f>
        </m:oMath>
      </m:oMathPara>
    </w:p>
    <w:bookmarkEnd w:id="26"/>
    <w:bookmarkStart w:id="28" w:name="number-of-days-of-payables"/>
    <w:p>
      <w:pPr>
        <w:pStyle w:val="Heading3"/>
      </w:pPr>
      <w:r>
        <w:t xml:space="preserve">Number of Days of Payables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Number of Days of Payables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Number of Days in Period</m:t>
              </m:r>
            </m:num>
            <m:den>
              <m:r>
                <m:rPr>
                  <m:nor/>
                  <m:sty m:val="p"/>
                </m:rPr>
                <m:t>Payables Turnover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Start w:id="27" w:name="X27c5fcafba06f7f2de26be0ee22bba0ec48cc66"/>
    <w:p>
      <w:pPr>
        <w:pStyle w:val="Heading4"/>
      </w:pPr>
      <w:r>
        <w:t xml:space="preserve">Interpretation of Payables Turnover and the Number of Days of Payables</w:t>
      </w:r>
    </w:p>
    <w:p>
      <w:pPr>
        <w:pStyle w:val="Compact"/>
        <w:numPr>
          <w:ilvl w:val="0"/>
          <w:numId w:val="1003"/>
        </w:numPr>
      </w:pPr>
      <w:r>
        <w:t xml:space="preserve">The number of days of payables reflects the average number of days the company</w:t>
      </w:r>
      <w:r>
        <w:t xml:space="preserve"> </w:t>
      </w:r>
      <w:r>
        <w:t xml:space="preserve">takes to pay its suppliers, and the payables turnover ratio measures how many</w:t>
      </w:r>
      <w:r>
        <w:t xml:space="preserve"> </w:t>
      </w:r>
      <w:r>
        <w:t xml:space="preserve">times per year the company theoretically pays off all its creditors.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A payables turnover ratio that is high (low days payable) relative to the</w:t>
      </w:r>
      <w:r>
        <w:t xml:space="preserve"> </w:t>
      </w:r>
      <w:r>
        <w:t xml:space="preserve">industry could indicate that the company is not making full use of available</w:t>
      </w:r>
      <w:r>
        <w:t xml:space="preserve"> </w:t>
      </w:r>
      <w:r>
        <w:t xml:space="preserve">credit facilities; alternatively, it could result from a company taking</w:t>
      </w:r>
      <w:r>
        <w:t xml:space="preserve"> </w:t>
      </w:r>
      <w:r>
        <w:t xml:space="preserve">advantage of early payment discounts.</w:t>
      </w:r>
      <w:r>
        <w:br/>
      </w:r>
    </w:p>
    <w:p>
      <w:pPr>
        <w:pStyle w:val="Compact"/>
        <w:numPr>
          <w:ilvl w:val="0"/>
          <w:numId w:val="1003"/>
        </w:numPr>
      </w:pPr>
      <w:r>
        <w:t xml:space="preserve">An excessively low turnover ratio (high days payable) could indicate trouble</w:t>
      </w:r>
      <w:r>
        <w:t xml:space="preserve"> </w:t>
      </w:r>
      <w:r>
        <w:t xml:space="preserve">making payments on time, or alternatively, exploitation of lenient supplier</w:t>
      </w:r>
      <w:r>
        <w:t xml:space="preserve"> </w:t>
      </w:r>
      <w:r>
        <w:t xml:space="preserve">terms.</w:t>
      </w:r>
    </w:p>
    <w:p>
      <w:pPr>
        <w:pStyle w:val="Compact"/>
        <w:numPr>
          <w:ilvl w:val="0"/>
          <w:numId w:val="1003"/>
        </w:numPr>
      </w:pPr>
      <w:r>
        <w:t xml:space="preserve">This is another example in which it is useful to look simultaneously at other</w:t>
      </w:r>
      <w:r>
        <w:t xml:space="preserve"> </w:t>
      </w:r>
      <w:r>
        <w:t xml:space="preserve">ratios. If liquidity ratios indicate that the company has sufficient cash and</w:t>
      </w:r>
      <w:r>
        <w:t xml:space="preserve"> </w:t>
      </w:r>
      <w:r>
        <w:t xml:space="preserve">other short-term assets to pay obligations and yet the days payable ratio is</w:t>
      </w:r>
      <w:r>
        <w:t xml:space="preserve"> </w:t>
      </w:r>
      <w:r>
        <w:t xml:space="preserve">relatively high, the analyst would favor the lenient supplier credit and</w:t>
      </w:r>
      <w:r>
        <w:t xml:space="preserve"> </w:t>
      </w:r>
      <w:r>
        <w:t xml:space="preserve">collection policies as an explanation.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working-capital-turnover"/>
    <w:p>
      <w:pPr>
        <w:pStyle w:val="Heading3"/>
      </w:pPr>
      <w:r>
        <w:t xml:space="preserve">Working Capital Turnover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Working Capital Turnover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r>
                <m:rPr>
                  <m:nor/>
                  <m:sty m:val="p"/>
                </m:rPr>
                <m:t>Average Working Capital</m:t>
              </m:r>
            </m:den>
          </m:f>
        </m:oMath>
      </m:oMathPara>
    </w:p>
    <w:p>
      <w:pPr>
        <w:pStyle w:val="Compact"/>
        <w:numPr>
          <w:ilvl w:val="0"/>
          <w:numId w:val="1004"/>
        </w:numPr>
      </w:pPr>
      <w:r>
        <w:t xml:space="preserve">Working capital turnover indicates how efficiently the company generates</w:t>
      </w:r>
      <w:r>
        <w:t xml:space="preserve"> </w:t>
      </w:r>
      <w:r>
        <w:t xml:space="preserve">revenue with its working capital.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For example, a working capital turnover ratio of 4.0 indicates that the</w:t>
      </w:r>
      <w:r>
        <w:t xml:space="preserve"> </w:t>
      </w:r>
      <w:r>
        <w:t xml:space="preserve">company generates EUR4 of revenue for every EUR1 of working capital. A high</w:t>
      </w:r>
      <w:r>
        <w:t xml:space="preserve"> </w:t>
      </w:r>
      <w:r>
        <w:t xml:space="preserve">working capital turnover ratio indicates greater efficiency (i.e., the</w:t>
      </w:r>
      <w:r>
        <w:t xml:space="preserve"> </w:t>
      </w:r>
      <w:r>
        <w:t xml:space="preserve">company is generating a high level of revenues relative to working capital).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For some companies, working capital can be near zero or negative, rendering</w:t>
      </w:r>
      <w:r>
        <w:t xml:space="preserve"> </w:t>
      </w:r>
      <w:r>
        <w:t xml:space="preserve">this ratio incapable of being interpreted.</w:t>
      </w:r>
      <w:r>
        <w:br/>
      </w:r>
    </w:p>
    <w:p>
      <w:pPr>
        <w:pStyle w:val="Compact"/>
        <w:numPr>
          <w:ilvl w:val="0"/>
          <w:numId w:val="1004"/>
        </w:numPr>
      </w:pPr>
      <w:r>
        <w:t xml:space="preserve">Fixed Asset Turnover and Total Asset Turnover ratios are more useful in those</w:t>
      </w:r>
      <w:r>
        <w:t xml:space="preserve"> </w:t>
      </w:r>
      <w:r>
        <w:t xml:space="preserve">circumstances.</w:t>
      </w:r>
    </w:p>
    <w:p>
      <w:r>
        <w:pict>
          <v:rect style="width:0;height:1.5pt" o:hralign="center" o:hrstd="t" o:hr="t"/>
        </w:pict>
      </w:r>
    </w:p>
    <w:bookmarkEnd w:id="29"/>
    <w:bookmarkStart w:id="30" w:name="fixed-asset-turnover"/>
    <w:p>
      <w:pPr>
        <w:pStyle w:val="Heading3"/>
      </w:pPr>
      <w:r>
        <w:t xml:space="preserve">Fixed Asset Turnover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Fixed Asset Turnover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r>
                <m:rPr>
                  <m:nor/>
                  <m:sty m:val="p"/>
                </m:rPr>
                <m:t>Average Net Fixed Assets</m:t>
              </m:r>
            </m:den>
          </m:f>
        </m:oMath>
      </m:oMathPara>
    </w:p>
    <w:p>
      <w:pPr>
        <w:pStyle w:val="Compact"/>
        <w:numPr>
          <w:ilvl w:val="0"/>
          <w:numId w:val="1005"/>
        </w:numPr>
      </w:pPr>
      <w:r>
        <w:t xml:space="preserve">This ratio measures how efficiently the company generates revenues from its</w:t>
      </w:r>
      <w:r>
        <w:t xml:space="preserve"> </w:t>
      </w:r>
      <w:r>
        <w:t xml:space="preserve">investments in fixed assets.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Generally, a higher fixed asset turnover ratio indicates more efficient use</w:t>
      </w:r>
      <w:r>
        <w:t xml:space="preserve"> </w:t>
      </w:r>
      <w:r>
        <w:t xml:space="preserve">of fixed assets in generating revenue.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A low ratio can indicate inefficiency, a capital-intensive business</w:t>
      </w:r>
      <w:r>
        <w:t xml:space="preserve"> </w:t>
      </w:r>
      <w:r>
        <w:t xml:space="preserve">environment, or a new business not yet operating at full capacity—in which</w:t>
      </w:r>
      <w:r>
        <w:t xml:space="preserve"> </w:t>
      </w:r>
      <w:r>
        <w:t xml:space="preserve">case the analyst will not be able to link the ratio directly to efficiency.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In addition, asset turnover can be affected by factors other than a company’s</w:t>
      </w:r>
      <w:r>
        <w:t xml:space="preserve"> </w:t>
      </w:r>
      <w:r>
        <w:t xml:space="preserve">efficiency. The fixed asset turnover ratio would be lower for a company</w:t>
      </w:r>
      <w:r>
        <w:t xml:space="preserve"> </w:t>
      </w:r>
      <w:r>
        <w:t xml:space="preserve">whose assets are newer (and, therefore, less depreciated and so reflected in</w:t>
      </w:r>
      <w:r>
        <w:t xml:space="preserve"> </w:t>
      </w:r>
      <w:r>
        <w:t xml:space="preserve">the financial statements at a higher carrying value) than the ratio for a</w:t>
      </w:r>
      <w:r>
        <w:t xml:space="preserve"> </w:t>
      </w:r>
      <w:r>
        <w:t xml:space="preserve">company with older assets (that are thus more depreciated and so reflected</w:t>
      </w:r>
      <w:r>
        <w:t xml:space="preserve"> </w:t>
      </w:r>
      <w:r>
        <w:t xml:space="preserve">at a lower carrying value).</w:t>
      </w:r>
      <w:r>
        <w:br/>
      </w:r>
    </w:p>
    <w:p>
      <w:pPr>
        <w:pStyle w:val="Compact"/>
        <w:numPr>
          <w:ilvl w:val="0"/>
          <w:numId w:val="1005"/>
        </w:numPr>
      </w:pPr>
      <w:r>
        <w:t xml:space="preserve">The fixed asset ratio can be erratic because, although revenue may have a</w:t>
      </w:r>
      <w:r>
        <w:t xml:space="preserve"> </w:t>
      </w:r>
      <w:r>
        <w:t xml:space="preserve">steady growth rate, increases in fixed assets may not follow a smooth pattern;</w:t>
      </w:r>
      <w:r>
        <w:t xml:space="preserve"> </w:t>
      </w:r>
      <w:r>
        <w:t xml:space="preserve">so, every year-to-year change in the ratio does not necessarily indicate</w:t>
      </w:r>
      <w:r>
        <w:t xml:space="preserve"> </w:t>
      </w:r>
      <w:r>
        <w:t xml:space="preserve">important changes in the company’s efficiency.</w:t>
      </w:r>
    </w:p>
    <w:p>
      <w:r>
        <w:pict>
          <v:rect style="width:0;height:1.5pt" o:hralign="center" o:hrstd="t" o:hr="t"/>
        </w:pict>
      </w:r>
    </w:p>
    <w:bookmarkEnd w:id="30"/>
    <w:bookmarkStart w:id="31" w:name="total-asset-turnover"/>
    <w:p>
      <w:pPr>
        <w:pStyle w:val="Heading3"/>
      </w:pPr>
      <w:r>
        <w:t xml:space="preserve">Total Asset Turnover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Total Asset Turnover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r>
                <m:rPr>
                  <m:nor/>
                  <m:sty m:val="p"/>
                </m:rPr>
                <m:t>Average Total Assets</m:t>
              </m:r>
            </m:den>
          </m:f>
        </m:oMath>
      </m:oMathPara>
    </w:p>
    <w:p>
      <w:pPr>
        <w:pStyle w:val="Compact"/>
        <w:numPr>
          <w:ilvl w:val="0"/>
          <w:numId w:val="1006"/>
        </w:numPr>
      </w:pPr>
      <w:r>
        <w:t xml:space="preserve">The total asset turnover ratio measures the company’s overall ability to</w:t>
      </w:r>
      <w:r>
        <w:t xml:space="preserve"> </w:t>
      </w:r>
      <w:r>
        <w:t xml:space="preserve">generate revenues with a given level of assets.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A ratio of 1.20 would indicate that the company is generating EUR1.20 of</w:t>
      </w:r>
      <w:r>
        <w:t xml:space="preserve"> </w:t>
      </w:r>
      <w:r>
        <w:t xml:space="preserve">revenues for every EUR1 of average assets. A higher ratio indicates greater</w:t>
      </w:r>
      <w:r>
        <w:t xml:space="preserve"> </w:t>
      </w:r>
      <w:r>
        <w:t xml:space="preserve">efficiency.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Because this ratio includes both fixed and current assets, inefficient</w:t>
      </w:r>
      <w:r>
        <w:t xml:space="preserve"> </w:t>
      </w:r>
      <w:r>
        <w:t xml:space="preserve">working capital management can distort overall interpretations. It is</w:t>
      </w:r>
      <w:r>
        <w:t xml:space="preserve"> </w:t>
      </w:r>
      <w:r>
        <w:t xml:space="preserve">therefore helpful to analyze working capital and fixed asset turnover ratios</w:t>
      </w:r>
      <w:r>
        <w:t xml:space="preserve"> </w:t>
      </w:r>
      <w:r>
        <w:t xml:space="preserve">separately.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A low asset turnover ratio can be an indicator of inefficiency or of relative</w:t>
      </w:r>
      <w:r>
        <w:t xml:space="preserve"> </w:t>
      </w:r>
      <w:r>
        <w:t xml:space="preserve">capital intensity of the business.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The ratio also reflects strategic decisions by management—for example, the</w:t>
      </w:r>
      <w:r>
        <w:t xml:space="preserve"> </w:t>
      </w:r>
      <w:r>
        <w:t xml:space="preserve">decision whether to use a more labor-intensive (and less capital-intensive)</w:t>
      </w:r>
      <w:r>
        <w:t xml:space="preserve"> </w:t>
      </w:r>
      <w:r>
        <w:t xml:space="preserve">approach to its business or a more capital-intensive (and less</w:t>
      </w:r>
      <w:r>
        <w:t xml:space="preserve"> </w:t>
      </w:r>
      <w:r>
        <w:t xml:space="preserve">labor-intensive) approach.</w:t>
      </w:r>
      <w:r>
        <w:br/>
      </w:r>
    </w:p>
    <w:p>
      <w:pPr>
        <w:pStyle w:val="Compact"/>
        <w:numPr>
          <w:ilvl w:val="0"/>
          <w:numId w:val="1006"/>
        </w:numPr>
      </w:pPr>
      <w:r>
        <w:t xml:space="preserve">When interpreting activity ratios, the analysts should examine not only the</w:t>
      </w:r>
      <w:r>
        <w:t xml:space="preserve"> </w:t>
      </w:r>
      <w:r>
        <w:t xml:space="preserve">individual ratios but also the collection of relevant ratios to determine</w:t>
      </w:r>
      <w:r>
        <w:t xml:space="preserve"> </w:t>
      </w:r>
      <w:r>
        <w:t xml:space="preserve">the overall efficiency of a company.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8" w:name="interpretation-of-liquidity-ratios"/>
    <w:p>
      <w:pPr>
        <w:pStyle w:val="Heading2"/>
      </w:pPr>
      <w:r>
        <w:t xml:space="preserve">Interpretation of Liquidity Ratios</w:t>
      </w:r>
    </w:p>
    <w:p>
      <w:r>
        <w:pict>
          <v:rect style="width:0;height:1.5pt" o:hralign="center" o:hrstd="t" o:hr="t"/>
        </w:pict>
      </w:r>
    </w:p>
    <w:bookmarkStart w:id="33" w:name="current-ratio"/>
    <w:p>
      <w:pPr>
        <w:pStyle w:val="Heading3"/>
      </w:pPr>
      <w:r>
        <w:t xml:space="preserve">Current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Current Ratio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Current Assets</m:t>
              </m:r>
            </m:num>
            <m:den>
              <m:r>
                <m:rPr>
                  <m:nor/>
                  <m:sty m:val="p"/>
                </m:rPr>
                <m:t>Current Liabilities</m:t>
              </m:r>
            </m:den>
          </m:f>
        </m:oMath>
      </m:oMathPara>
    </w:p>
    <w:p>
      <w:pPr>
        <w:pStyle w:val="Compact"/>
        <w:numPr>
          <w:ilvl w:val="0"/>
          <w:numId w:val="1007"/>
        </w:numPr>
      </w:pPr>
      <w:r>
        <w:t xml:space="preserve">A higher current ratio indicates a higher level of liquidity (i.e., a greater</w:t>
      </w:r>
      <w:r>
        <w:t xml:space="preserve"> </w:t>
      </w:r>
      <w:r>
        <w:t xml:space="preserve">ability to meet short-term obligations). A lower ratio indicates less</w:t>
      </w:r>
      <w:r>
        <w:t xml:space="preserve"> </w:t>
      </w:r>
      <w:r>
        <w:t xml:space="preserve">liquidity, implying a greater reliance on operating cash flow and outside</w:t>
      </w:r>
      <w:r>
        <w:t xml:space="preserve"> </w:t>
      </w:r>
      <w:r>
        <w:t xml:space="preserve">financing to meet short-term obligations.</w:t>
      </w:r>
    </w:p>
    <w:p>
      <w:pPr>
        <w:pStyle w:val="Compact"/>
        <w:numPr>
          <w:ilvl w:val="0"/>
          <w:numId w:val="1007"/>
        </w:numPr>
      </w:pPr>
      <w:r>
        <w:t xml:space="preserve">The current ratio implicitly assumes that inventories and accounts receivable</w:t>
      </w:r>
      <w:r>
        <w:t xml:space="preserve"> </w:t>
      </w:r>
      <w:r>
        <w:t xml:space="preserve">are indeed liquid (which is presumably not the case when related turnover</w:t>
      </w:r>
      <w:r>
        <w:t xml:space="preserve"> </w:t>
      </w:r>
      <w:r>
        <w:t xml:space="preserve">ratios are low).</w:t>
      </w:r>
    </w:p>
    <w:p>
      <w:r>
        <w:pict>
          <v:rect style="width:0;height:1.5pt" o:hralign="center" o:hrstd="t" o:hr="t"/>
        </w:pict>
      </w:r>
    </w:p>
    <w:bookmarkEnd w:id="33"/>
    <w:bookmarkStart w:id="34" w:name="quick-ratio"/>
    <w:p>
      <w:pPr>
        <w:pStyle w:val="Heading3"/>
      </w:pPr>
      <w:r>
        <w:t xml:space="preserve">Quick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Quick Ratio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nor/>
                        <m:sty m:val="p"/>
                      </m:rPr>
                      <m:t>Cash + Short-term Marketable 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Investments + Receivables</m:t>
                    </m:r>
                  </m:e>
                </m:mr>
              </m:m>
            </m:num>
            <m:den>
              <m:r>
                <m:rPr>
                  <m:nor/>
                  <m:sty m:val="p"/>
                </m:rPr>
                <m:t>Current Liabilities</m:t>
              </m:r>
            </m:den>
          </m:f>
        </m:oMath>
      </m:oMathPara>
    </w:p>
    <w:p>
      <w:pPr>
        <w:pStyle w:val="Compact"/>
        <w:numPr>
          <w:ilvl w:val="0"/>
          <w:numId w:val="1008"/>
        </w:numPr>
      </w:pPr>
      <w:r>
        <w:t xml:space="preserve">The quick ratio is more conservative than the current ratio because it</w:t>
      </w:r>
      <w:r>
        <w:t xml:space="preserve"> </w:t>
      </w:r>
      <w:r>
        <w:t xml:space="preserve">includes only the more liquid current assets (sometimes referred to as</w:t>
      </w:r>
      <w:r>
        <w:t xml:space="preserve"> </w:t>
      </w:r>
      <w:r>
        <w:t xml:space="preserve">“quick</w:t>
      </w:r>
      <w:r>
        <w:t xml:space="preserve"> </w:t>
      </w:r>
      <w:r>
        <w:t xml:space="preserve">assets”</w:t>
      </w:r>
      <w:r>
        <w:t xml:space="preserve">) in relation to current liabilities.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Like the current ratio, a higher quick ratio indicates greater liquidity.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The quick ratio reflects the fact that certain current assets—such as prepaid</w:t>
      </w:r>
      <w:r>
        <w:t xml:space="preserve"> </w:t>
      </w:r>
      <w:r>
        <w:t xml:space="preserve">expenses, some taxes, and employee-related prepayments—represent costs of the</w:t>
      </w:r>
      <w:r>
        <w:t xml:space="preserve"> </w:t>
      </w:r>
      <w:r>
        <w:t xml:space="preserve">current period that have been paid in advance and cannot usually be converted</w:t>
      </w:r>
      <w:r>
        <w:t xml:space="preserve"> </w:t>
      </w:r>
      <w:r>
        <w:t xml:space="preserve">back into cash.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This ratio also reflects the fact that inventory might not be easily and</w:t>
      </w:r>
      <w:r>
        <w:t xml:space="preserve"> </w:t>
      </w:r>
      <w:r>
        <w:t xml:space="preserve">quickly converted into cash, and furthermore, that a company probably would</w:t>
      </w:r>
      <w:r>
        <w:t xml:space="preserve"> </w:t>
      </w:r>
      <w:r>
        <w:t xml:space="preserve">not be able to sell all of its inventory for an amount equal to its carrying</w:t>
      </w:r>
      <w:r>
        <w:t xml:space="preserve"> </w:t>
      </w:r>
      <w:r>
        <w:t xml:space="preserve">value, especially if it were required to sell the inventory quickly.</w:t>
      </w:r>
      <w:r>
        <w:br/>
      </w:r>
    </w:p>
    <w:p>
      <w:pPr>
        <w:pStyle w:val="Compact"/>
        <w:numPr>
          <w:ilvl w:val="0"/>
          <w:numId w:val="1008"/>
        </w:numPr>
      </w:pPr>
      <w:r>
        <w:t xml:space="preserve">In situations in which inventories are illiquid (as indicated, for example,</w:t>
      </w:r>
      <w:r>
        <w:t xml:space="preserve"> </w:t>
      </w:r>
      <w:r>
        <w:t xml:space="preserve">by low inventory turnover ratios), the quick ratio may be a better indicator</w:t>
      </w:r>
      <w:r>
        <w:t xml:space="preserve"> </w:t>
      </w:r>
      <w:r>
        <w:t xml:space="preserve">of liquidity than the current ratio.</w:t>
      </w:r>
    </w:p>
    <w:p>
      <w:r>
        <w:pict>
          <v:rect style="width:0;height:1.5pt" o:hralign="center" o:hrstd="t" o:hr="t"/>
        </w:pict>
      </w:r>
    </w:p>
    <w:bookmarkEnd w:id="34"/>
    <w:bookmarkStart w:id="35" w:name="cash-ratio"/>
    <w:p>
      <w:pPr>
        <w:pStyle w:val="Heading3"/>
      </w:pPr>
      <w:r>
        <w:t xml:space="preserve">Cash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Cash Ratio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nor/>
                        <m:sty m:val="p"/>
                      </m:rPr>
                      <m:t>Cash + Short-term 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Marketable Investments</m:t>
                    </m:r>
                  </m:e>
                </m:mr>
              </m:m>
            </m:num>
            <m:den>
              <m:r>
                <m:rPr>
                  <m:nor/>
                  <m:sty m:val="p"/>
                </m:rPr>
                <m:t>Current Liabilities</m:t>
              </m:r>
            </m:den>
          </m:f>
        </m:oMath>
      </m:oMathPara>
    </w:p>
    <w:p>
      <w:pPr>
        <w:pStyle w:val="Compact"/>
        <w:numPr>
          <w:ilvl w:val="0"/>
          <w:numId w:val="1009"/>
        </w:numPr>
      </w:pPr>
      <w:r>
        <w:t xml:space="preserve">The cash ratio normally represents a reliable measure of an entity’s</w:t>
      </w:r>
      <w:r>
        <w:t xml:space="preserve"> </w:t>
      </w:r>
      <w:r>
        <w:t xml:space="preserve">liquidity in a crisis situation. Only highly marketable short-term investments</w:t>
      </w:r>
      <w:r>
        <w:t xml:space="preserve"> </w:t>
      </w:r>
      <w:r>
        <w:t xml:space="preserve">and cash are included.</w:t>
      </w:r>
      <w:r>
        <w:br/>
      </w:r>
    </w:p>
    <w:p>
      <w:pPr>
        <w:pStyle w:val="Compact"/>
        <w:numPr>
          <w:ilvl w:val="0"/>
          <w:numId w:val="1009"/>
        </w:numPr>
      </w:pPr>
      <w:r>
        <w:t xml:space="preserve">In a general market crisis, the fair value of marketable securities could</w:t>
      </w:r>
      <w:r>
        <w:t xml:space="preserve"> </w:t>
      </w:r>
      <w:r>
        <w:t xml:space="preserve">decrease significantly as a result of market factors, in which case even this</w:t>
      </w:r>
      <w:r>
        <w:t xml:space="preserve"> </w:t>
      </w:r>
      <w:r>
        <w:t xml:space="preserve">ratio might not provide reliable information.</w:t>
      </w:r>
    </w:p>
    <w:p>
      <w:r>
        <w:pict>
          <v:rect style="width:0;height:1.5pt" o:hralign="center" o:hrstd="t" o:hr="t"/>
        </w:pict>
      </w:r>
    </w:p>
    <w:bookmarkEnd w:id="35"/>
    <w:bookmarkStart w:id="36" w:name="defensive-interval-ratio"/>
    <w:p>
      <w:pPr>
        <w:pStyle w:val="Heading3"/>
      </w:pPr>
      <w:r>
        <w:t xml:space="preserve">Defensive Interval Ratio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Defensive </m:t>
                </m:r>
              </m:e>
            </m:mr>
            <m:mr>
              <m:e>
                <m:r>
                  <m:rPr>
                    <m:nor/>
                    <m:sty m:val="p"/>
                  </m:rPr>
                  <m:t>Interval Ratio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nor/>
                        <m:sty m:val="p"/>
                      </m:rPr>
                      <m:t>Cash + Short-term Marketable 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Investments + Receivables</m:t>
                    </m:r>
                  </m:e>
                </m:mr>
              </m:m>
            </m:num>
            <m:den>
              <m:r>
                <m:rPr>
                  <m:nor/>
                  <m:sty m:val="p"/>
                </m:rPr>
                <m:t>Daily Cash Expenditures</m:t>
              </m:r>
            </m:den>
          </m:f>
        </m:oMath>
      </m:oMathPara>
    </w:p>
    <w:p>
      <w:pPr>
        <w:pStyle w:val="Compact"/>
        <w:numPr>
          <w:ilvl w:val="0"/>
          <w:numId w:val="1010"/>
        </w:numPr>
      </w:pPr>
      <w:r>
        <w:t xml:space="preserve">The defensive interval ratio measures how long the company can continue to</w:t>
      </w:r>
      <w:r>
        <w:t xml:space="preserve"> </w:t>
      </w:r>
      <w:r>
        <w:t xml:space="preserve">pay its expenses from its existing liquid assets without receiving any</w:t>
      </w:r>
      <w:r>
        <w:t xml:space="preserve"> </w:t>
      </w:r>
      <w:r>
        <w:t xml:space="preserve">additional cash inflow.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A defensive interval ratio of 50 would indicate that the company can continue</w:t>
      </w:r>
      <w:r>
        <w:t xml:space="preserve"> </w:t>
      </w:r>
      <w:r>
        <w:t xml:space="preserve">to pay its operating expenses for 50 days before running out of quick assets,</w:t>
      </w:r>
      <w:r>
        <w:t xml:space="preserve"> </w:t>
      </w:r>
      <w:r>
        <w:t xml:space="preserve">assuming no additional cash inflows.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A higher defensive interval ratio indicates greater liquidity.</w:t>
      </w:r>
      <w:r>
        <w:br/>
      </w:r>
    </w:p>
    <w:p>
      <w:pPr>
        <w:pStyle w:val="Compact"/>
        <w:numPr>
          <w:ilvl w:val="0"/>
          <w:numId w:val="1010"/>
        </w:numPr>
      </w:pPr>
      <w:r>
        <w:t xml:space="preserve">If a company’s defensive interval ratio is very low relative to peer</w:t>
      </w:r>
      <w:r>
        <w:t xml:space="preserve"> </w:t>
      </w:r>
      <w:r>
        <w:t xml:space="preserve">companies or to the company’s own history, the analyst would want to</w:t>
      </w:r>
      <w:r>
        <w:t xml:space="preserve"> </w:t>
      </w:r>
      <w:r>
        <w:t xml:space="preserve">ascertain whether there is sufficient cash inflow expected to mitigate the</w:t>
      </w:r>
      <w:r>
        <w:t xml:space="preserve"> </w:t>
      </w:r>
      <w:r>
        <w:t xml:space="preserve">low defensive interval ratio.</w:t>
      </w:r>
    </w:p>
    <w:p>
      <w:r>
        <w:pict>
          <v:rect style="width:0;height:1.5pt" o:hralign="center" o:hrstd="t" o:hr="t"/>
        </w:pict>
      </w:r>
    </w:p>
    <w:bookmarkEnd w:id="36"/>
    <w:bookmarkStart w:id="37" w:name="Xb68158097bd9feeec2105b93f07ad74856b47d3"/>
    <w:p>
      <w:pPr>
        <w:pStyle w:val="Heading3"/>
      </w:pPr>
      <w:r>
        <w:t xml:space="preserve">Cash Conversion Cycle (Net Operating Cycle)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Cash Conversion Cycle</m:t>
                </m:r>
              </m:e>
            </m:mr>
            <m:mr>
              <m:e>
                <m:r>
                  <m:rPr>
                    <m:nor/>
                    <m:sty m:val="p"/>
                  </m:rPr>
                  <m:t>(Net Operating Cycle)</m:t>
                </m:r>
              </m:e>
            </m:mr>
          </m:m>
          <m:r>
            <m:rPr>
              <m:sty m:val="p"/>
            </m:rPr>
            <m:t>=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DOH </m:t>
                </m:r>
                <m:r>
                  <m:rPr>
                    <m:sty m:val="p"/>
                  </m:rPr>
                  <m:t>+</m:t>
                </m:r>
                <m:r>
                  <m:rPr>
                    <m:nor/>
                    <m:sty m:val="p"/>
                  </m:rPr>
                  <m:t> DSO </m:t>
                </m:r>
                <m:r>
                  <m:rPr>
                    <m:sty m:val="p"/>
                  </m:rPr>
                  <m:t>−</m:t>
                </m:r>
                <m:r>
                  <m:rPr>
                    <m:nor/>
                    <m:sty m:val="p"/>
                  </m:rPr>
                  <m:t> Number</m:t>
                </m:r>
              </m:e>
            </m:mr>
            <m:mr>
              <m:e>
                <m:r>
                  <m:rPr>
                    <m:nor/>
                    <m:sty m:val="p"/>
                  </m:rPr>
                  <m:t> of Days of Payables</m:t>
                </m:r>
              </m:e>
            </m:mr>
          </m:m>
        </m:oMath>
      </m:oMathPara>
    </w:p>
    <w:p>
      <w:pPr>
        <w:pStyle w:val="Compact"/>
        <w:numPr>
          <w:ilvl w:val="0"/>
          <w:numId w:val="1011"/>
        </w:numPr>
      </w:pPr>
      <w:r>
        <w:t xml:space="preserve">This cash conversion cycle metric indicates the amount of time that elapses</w:t>
      </w:r>
      <w:r>
        <w:t xml:space="preserve"> </w:t>
      </w:r>
      <w:r>
        <w:t xml:space="preserve">from the point when a company invests in working capital until the point at</w:t>
      </w:r>
      <w:r>
        <w:t xml:space="preserve"> </w:t>
      </w:r>
      <w:r>
        <w:t xml:space="preserve">which the company collects cash.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A shorter cash conversion cycle indicates greater liquidity.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A short cash conversion cycle implies that the company only needs to finance</w:t>
      </w:r>
      <w:r>
        <w:t xml:space="preserve"> </w:t>
      </w:r>
      <w:r>
        <w:t xml:space="preserve">its inventory and accounts receivable for a short period of time.</w:t>
      </w:r>
      <w:r>
        <w:br/>
      </w:r>
    </w:p>
    <w:p>
      <w:pPr>
        <w:pStyle w:val="Compact"/>
        <w:numPr>
          <w:ilvl w:val="0"/>
          <w:numId w:val="1011"/>
        </w:numPr>
      </w:pPr>
      <w:r>
        <w:t xml:space="preserve">A longer cash conversion cycle indicates lower liquidity; it implies that the</w:t>
      </w:r>
      <w:r>
        <w:t xml:space="preserve"> </w:t>
      </w:r>
      <w:r>
        <w:t xml:space="preserve">company must finance its inventory and accounts receivable for a longer</w:t>
      </w:r>
      <w:r>
        <w:t xml:space="preserve"> </w:t>
      </w:r>
      <w:r>
        <w:t xml:space="preserve">period of time, possibly indicating a need for a higher level of capital to</w:t>
      </w:r>
      <w:r>
        <w:t xml:space="preserve"> </w:t>
      </w:r>
      <w:r>
        <w:t xml:space="preserve">fund current assets.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6" w:name="interpretation-of-solvency-ratios"/>
    <w:p>
      <w:pPr>
        <w:pStyle w:val="Heading2"/>
      </w:pPr>
      <w:r>
        <w:t xml:space="preserve">Interpretation of Solvency Ratios</w:t>
      </w:r>
    </w:p>
    <w:p>
      <w:pPr>
        <w:pStyle w:val="FirstParagraph"/>
      </w:pPr>
      <w:r>
        <w:rPr>
          <w:rStyle w:val="VerbatimChar"/>
        </w:rPr>
        <w:t xml:space="preserve">Solvency ratios</w:t>
      </w:r>
      <w:r>
        <w:t xml:space="preserve"> </w:t>
      </w:r>
      <w:r>
        <w:t xml:space="preserve">measure a company’s ability to meet long-term obligations.</w:t>
      </w:r>
      <w:r>
        <w:t xml:space="preserve"> </w:t>
      </w:r>
      <w:r>
        <w:t xml:space="preserve">Subsets of these ratios are also known as</w:t>
      </w:r>
      <w:r>
        <w:t xml:space="preserve"> </w:t>
      </w:r>
      <w:r>
        <w:t xml:space="preserve">“leverage”</w:t>
      </w:r>
      <w:r>
        <w:t xml:space="preserve"> </w:t>
      </w:r>
      <w:r>
        <w:t xml:space="preserve">and</w:t>
      </w:r>
      <w:r>
        <w:t xml:space="preserve"> </w:t>
      </w:r>
      <w:r>
        <w:t xml:space="preserve">“long-term debt”</w:t>
      </w:r>
      <w:r>
        <w:t xml:space="preserve"> </w:t>
      </w:r>
      <w:r>
        <w:t xml:space="preserve">ratios.</w:t>
      </w:r>
    </w:p>
    <w:p>
      <w:pPr>
        <w:pStyle w:val="BodyText"/>
      </w:pPr>
      <w:r>
        <w:t xml:space="preserve">Solvency refers to a company’s ability to fulfill its long-term debt</w:t>
      </w:r>
      <w:r>
        <w:t xml:space="preserve"> </w:t>
      </w:r>
      <w:r>
        <w:t xml:space="preserve">obligations.</w:t>
      </w:r>
    </w:p>
    <w:p>
      <w:pPr>
        <w:pStyle w:val="BodyText"/>
      </w:pPr>
      <w:r>
        <w:t xml:space="preserve">The two primary types of solvency ratios are</w:t>
      </w:r>
      <w:r>
        <w:t xml:space="preserve"> </w:t>
      </w:r>
      <w:r>
        <w:rPr>
          <w:b/>
          <w:bCs/>
        </w:rPr>
        <w:t xml:space="preserve">debt ratios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coverage ratios</w:t>
      </w:r>
      <w:r>
        <w:t xml:space="preserve">.</w:t>
      </w:r>
      <w:r>
        <w:br/>
      </w:r>
      <w:r>
        <w:t xml:space="preserve">-</w:t>
      </w:r>
      <w:r>
        <w:t xml:space="preserve"> </w:t>
      </w:r>
      <w:r>
        <w:rPr>
          <w:i/>
          <w:iCs/>
        </w:rPr>
        <w:t xml:space="preserve">Debt ratios</w:t>
      </w:r>
      <w:r>
        <w:t xml:space="preserve"> </w:t>
      </w:r>
      <w:r>
        <w:t xml:space="preserve">focus on the balance sheet and measure the amount of debt</w:t>
      </w:r>
      <w:r>
        <w:t xml:space="preserve"> </w:t>
      </w:r>
      <w:r>
        <w:t xml:space="preserve">capital relative to equity capital.</w:t>
      </w:r>
      <w:r>
        <w:br/>
      </w:r>
      <w:r>
        <w:t xml:space="preserve">-</w:t>
      </w:r>
      <w:r>
        <w:t xml:space="preserve"> </w:t>
      </w:r>
      <w:r>
        <w:rPr>
          <w:i/>
          <w:iCs/>
        </w:rPr>
        <w:t xml:space="preserve">Coverage ratios</w:t>
      </w:r>
      <w:r>
        <w:t xml:space="preserve"> </w:t>
      </w:r>
      <w:r>
        <w:t xml:space="preserve">focus on the income statement and measure the ability of a</w:t>
      </w:r>
      <w:r>
        <w:t xml:space="preserve"> </w:t>
      </w:r>
      <w:r>
        <w:t xml:space="preserve">company to cover its debt payments.</w:t>
      </w:r>
    </w:p>
    <w:p>
      <w:pPr>
        <w:pStyle w:val="BodyText"/>
      </w:pPr>
      <w:r>
        <w:t xml:space="preserve">These ratios are useful in assessing a company’s solvency and, therefore, in</w:t>
      </w:r>
      <w:r>
        <w:t xml:space="preserve"> </w:t>
      </w:r>
      <w:r>
        <w:t xml:space="preserve">evaluating the quality of a company’s bonds and other debt obligations.</w:t>
      </w:r>
    </w:p>
    <w:p>
      <w:pPr>
        <w:pStyle w:val="BodyText"/>
      </w:pPr>
      <w:r>
        <w:t xml:space="preserve">In the following, we discuss the interpretation of the basic solvency ratios</w:t>
      </w:r>
      <w:r>
        <w:t xml:space="preserve"> </w:t>
      </w:r>
      <w:r>
        <w:t xml:space="preserve">presented in this module: Exhibit 25.</w:t>
      </w:r>
    </w:p>
    <w:p>
      <w:r>
        <w:pict>
          <v:rect style="width:0;height:1.5pt" o:hralign="center" o:hrstd="t" o:hr="t"/>
        </w:pict>
      </w:r>
    </w:p>
    <w:bookmarkStart w:id="39" w:name="debt-ratio-debt-to-assets-ratio"/>
    <w:p>
      <w:pPr>
        <w:pStyle w:val="Heading3"/>
      </w:pPr>
      <w:r>
        <w:t xml:space="preserve">Debt Ratio: Debt-to-Assets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Debt-to-assets ratio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Total debt</m:t>
              </m:r>
            </m:num>
            <m:den>
              <m:r>
                <m:rPr>
                  <m:nor/>
                  <m:sty m:val="p"/>
                </m:rPr>
                <m:t>Total assets</m:t>
              </m:r>
            </m:den>
          </m:f>
        </m:oMath>
      </m:oMathPara>
    </w:p>
    <w:p>
      <w:pPr>
        <w:pStyle w:val="Compact"/>
        <w:numPr>
          <w:ilvl w:val="0"/>
          <w:numId w:val="1012"/>
        </w:numPr>
      </w:pPr>
      <w:r>
        <w:t xml:space="preserve">This ratio measures the percentage of total assets financed with debt. For</w:t>
      </w:r>
      <w:r>
        <w:t xml:space="preserve"> </w:t>
      </w:r>
      <w:r>
        <w:t xml:space="preserve">example, a debt-to-assets ratio of 0.40 or 40 percent indicates that 40</w:t>
      </w:r>
      <w:r>
        <w:t xml:space="preserve"> </w:t>
      </w:r>
      <w:r>
        <w:t xml:space="preserve">percent of the company’s assets are financed with debt. Generally, higher</w:t>
      </w:r>
      <w:r>
        <w:t xml:space="preserve"> </w:t>
      </w:r>
      <w:r>
        <w:t xml:space="preserve">debt means higher financial risk and thus weaker solvency.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“Total debt ratio”</w:t>
      </w:r>
      <w:r>
        <w:t xml:space="preserve"> </w:t>
      </w:r>
      <w:r>
        <w:t xml:space="preserve">is another name sometimes used for this ratio.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In this reading, total debt is the sum of interest-bearing short-term and</w:t>
      </w:r>
      <w:r>
        <w:t xml:space="preserve"> </w:t>
      </w:r>
      <w:r>
        <w:t xml:space="preserve">long-term debt.</w:t>
      </w:r>
    </w:p>
    <w:p>
      <w:r>
        <w:pict>
          <v:rect style="width:0;height:1.5pt" o:hralign="center" o:hrstd="t" o:hr="t"/>
        </w:pict>
      </w:r>
    </w:p>
    <w:bookmarkEnd w:id="39"/>
    <w:bookmarkStart w:id="40" w:name="debt-ratio-debt-to-capital-ratio"/>
    <w:p>
      <w:pPr>
        <w:pStyle w:val="Heading3"/>
      </w:pPr>
      <w:r>
        <w:t xml:space="preserve">Debt Ratio: Debt-to-Capital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Debt-to-capital ratio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Total debt</m:t>
              </m:r>
            </m:num>
            <m:den>
              <m:r>
                <m:rPr>
                  <m:nor/>
                  <m:sty m:val="p"/>
                </m:rPr>
                <m:t>Total debt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Total shareholders’ equity</m:t>
              </m:r>
            </m:den>
          </m:f>
        </m:oMath>
      </m:oMathPara>
    </w:p>
    <w:p>
      <w:pPr>
        <w:pStyle w:val="Compact"/>
        <w:numPr>
          <w:ilvl w:val="0"/>
          <w:numId w:val="1013"/>
        </w:numPr>
      </w:pPr>
      <w:r>
        <w:t xml:space="preserve">The debt-to-capital ratio measures the percentage of a company’s capital</w:t>
      </w:r>
      <w:r>
        <w:t xml:space="preserve"> </w:t>
      </w:r>
      <w:r>
        <w:t xml:space="preserve">(debt plus equity) represented by debt. As with the previous ratio, a higher</w:t>
      </w:r>
      <w:r>
        <w:t xml:space="preserve"> </w:t>
      </w:r>
      <w:r>
        <w:t xml:space="preserve">ratio generally means higher financial risk and thus indicates weaker solvency.</w:t>
      </w:r>
      <w:r>
        <w:br/>
      </w:r>
    </w:p>
    <w:p>
      <w:pPr>
        <w:pStyle w:val="Compact"/>
        <w:numPr>
          <w:ilvl w:val="0"/>
          <w:numId w:val="1013"/>
        </w:numPr>
      </w:pPr>
      <w:r>
        <w:t xml:space="preserve">In this reading, total debt is the sum of interest-bearing short-term and</w:t>
      </w:r>
      <w:r>
        <w:t xml:space="preserve"> </w:t>
      </w:r>
      <w:r>
        <w:t xml:space="preserve">long-term debt.</w:t>
      </w:r>
    </w:p>
    <w:p>
      <w:r>
        <w:pict>
          <v:rect style="width:0;height:1.5pt" o:hralign="center" o:hrstd="t" o:hr="t"/>
        </w:pict>
      </w:r>
    </w:p>
    <w:bookmarkEnd w:id="40"/>
    <w:bookmarkStart w:id="41" w:name="debt-ratio-debt-to-equity-ratio"/>
    <w:p>
      <w:pPr>
        <w:pStyle w:val="Heading3"/>
      </w:pPr>
      <w:r>
        <w:t xml:space="preserve">Debt Ratio: Debt-to-Equity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Debt-to-equity ratio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Total debt</m:t>
              </m:r>
            </m:num>
            <m:den>
              <m:r>
                <m:rPr>
                  <m:nor/>
                  <m:sty m:val="p"/>
                </m:rPr>
                <m:t>Total shareholders’ equity</m:t>
              </m:r>
            </m:den>
          </m:f>
        </m:oMath>
      </m:oMathPara>
    </w:p>
    <w:p>
      <w:pPr>
        <w:pStyle w:val="Compact"/>
        <w:numPr>
          <w:ilvl w:val="0"/>
          <w:numId w:val="1014"/>
        </w:numPr>
      </w:pPr>
      <w:r>
        <w:t xml:space="preserve">The debt-to-equity ratio measures the amount of debt capital relative to</w:t>
      </w:r>
      <w:r>
        <w:t xml:space="preserve"> </w:t>
      </w:r>
      <w:r>
        <w:t xml:space="preserve">equity capital. Interpretation is similar to the preceding two ratios (i.e.,</w:t>
      </w:r>
      <w:r>
        <w:t xml:space="preserve"> </w:t>
      </w:r>
      <w:r>
        <w:t xml:space="preserve">a higher ratio indicates weaker solvency). A ratio of 1.0 would indicate</w:t>
      </w:r>
      <w:r>
        <w:t xml:space="preserve"> </w:t>
      </w:r>
      <w:r>
        <w:t xml:space="preserve">equal amounts of debt and equity, which is equivalent to a debt-to-capital</w:t>
      </w:r>
      <w:r>
        <w:t xml:space="preserve"> </w:t>
      </w:r>
      <w:r>
        <w:t xml:space="preserve">ratio of 50 percent. Alternative definitions of this ratio use the market</w:t>
      </w:r>
      <w:r>
        <w:t xml:space="preserve"> </w:t>
      </w:r>
      <w:r>
        <w:t xml:space="preserve">value of stockholders’ equity rather than its book value (or use the market</w:t>
      </w:r>
      <w:r>
        <w:t xml:space="preserve"> </w:t>
      </w:r>
      <w:r>
        <w:t xml:space="preserve">values of both stockholders’ equity and debt).</w:t>
      </w:r>
      <w:r>
        <w:br/>
      </w:r>
    </w:p>
    <w:p>
      <w:pPr>
        <w:pStyle w:val="Compact"/>
        <w:numPr>
          <w:ilvl w:val="0"/>
          <w:numId w:val="1014"/>
        </w:numPr>
      </w:pPr>
      <w:r>
        <w:t xml:space="preserve">In this reading, total debt is the sum of interest-bearing short-term and</w:t>
      </w:r>
      <w:r>
        <w:t xml:space="preserve"> </w:t>
      </w:r>
      <w:r>
        <w:t xml:space="preserve">long-term debt.</w:t>
      </w:r>
    </w:p>
    <w:p>
      <w:r>
        <w:pict>
          <v:rect style="width:0;height:1.5pt" o:hralign="center" o:hrstd="t" o:hr="t"/>
        </w:pict>
      </w:r>
    </w:p>
    <w:bookmarkEnd w:id="41"/>
    <w:bookmarkStart w:id="42" w:name="debt-ratio-financial-leverage-ratio"/>
    <w:p>
      <w:pPr>
        <w:pStyle w:val="Heading3"/>
      </w:pPr>
      <w:r>
        <w:t xml:space="preserve">Debt Ratio: Financial Leverage Ratio</w:t>
      </w:r>
    </w:p>
    <w:p>
      <w:pPr>
        <w:pStyle w:val="FirstParagraph"/>
      </w:pPr>
      <m:oMathPara>
        <m:oMathParaPr>
          <m:jc m:val="center"/>
        </m:oMathParaPr>
        <m:oMath>
          <m:sSup>
            <m:e>
              <m:r>
                <m:rPr>
                  <m:nor/>
                  <m:sty m:val="p"/>
                </m:rPr>
                <m:t>Financial leverage ratio</m:t>
              </m:r>
            </m:e>
            <m:sup>
              <m:r>
                <m:t>c</m:t>
              </m:r>
            </m:sup>
          </m:sSup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Average total assets</m:t>
              </m:r>
            </m:num>
            <m:den>
              <m:r>
                <m:rPr>
                  <m:nor/>
                  <m:sty m:val="p"/>
                </m:rPr>
                <m:t>Average total equity</m:t>
              </m:r>
            </m:den>
          </m:f>
        </m:oMath>
      </m:oMathPara>
    </w:p>
    <w:p>
      <w:pPr>
        <w:pStyle w:val="Compact"/>
        <w:numPr>
          <w:ilvl w:val="0"/>
          <w:numId w:val="1015"/>
        </w:numPr>
      </w:pPr>
      <w:r>
        <w:t xml:space="preserve">The financial leverage ratio (often called simply the</w:t>
      </w:r>
      <w:r>
        <w:t xml:space="preserve"> </w:t>
      </w:r>
      <w:r>
        <w:t xml:space="preserve">“leverage ratio”</w:t>
      </w:r>
      <w:r>
        <w:t xml:space="preserve">)</w:t>
      </w:r>
      <w:r>
        <w:t xml:space="preserve"> </w:t>
      </w:r>
      <w:r>
        <w:t xml:space="preserve">measures the amount of total assets supported for each one money unit of</w:t>
      </w:r>
      <w:r>
        <w:t xml:space="preserve"> </w:t>
      </w:r>
      <w:r>
        <w:t xml:space="preserve">equity. For example, a value of 3 for this ratio means that each EUR1 of</w:t>
      </w:r>
      <w:r>
        <w:t xml:space="preserve"> </w:t>
      </w:r>
      <w:r>
        <w:t xml:space="preserve">equity supports EUR3 of total assets.</w:t>
      </w:r>
      <w:r>
        <w:br/>
      </w:r>
    </w:p>
    <w:p>
      <w:pPr>
        <w:pStyle w:val="Compact"/>
        <w:numPr>
          <w:ilvl w:val="0"/>
          <w:numId w:val="1015"/>
        </w:numPr>
      </w:pPr>
      <w:r>
        <w:t xml:space="preserve">The higher the financial leverage ratio, the more leveraged the company is</w:t>
      </w:r>
      <w:r>
        <w:t xml:space="preserve"> </w:t>
      </w:r>
      <w:r>
        <w:t xml:space="preserve">in the sense of using debt and other liabilities to finance assets.</w:t>
      </w:r>
      <w:r>
        <w:t xml:space="preserve"> </w:t>
      </w:r>
      <w:r>
        <w:t xml:space="preserve">This ratio is often defined in terms of average total assets and average</w:t>
      </w:r>
      <w:r>
        <w:t xml:space="preserve"> </w:t>
      </w:r>
      <w:r>
        <w:t xml:space="preserve">total equity.</w:t>
      </w:r>
      <w:r>
        <w:br/>
      </w:r>
    </w:p>
    <w:p>
      <w:pPr>
        <w:pStyle w:val="Compact"/>
        <w:numPr>
          <w:ilvl w:val="0"/>
          <w:numId w:val="1015"/>
        </w:numPr>
      </w:pPr>
      <m:oMath>
        <m:sSup>
          <m:e>
            <m:r>
              <m:t>​</m:t>
            </m:r>
          </m:e>
          <m:sup>
            <m:r>
              <m:t>c</m:t>
            </m:r>
          </m:sup>
        </m:sSup>
      </m:oMath>
      <w:r>
        <w:t xml:space="preserve">: Average total assets divided by average total equity is used for the</w:t>
      </w:r>
      <w:r>
        <w:t xml:space="preserve"> </w:t>
      </w:r>
      <w:r>
        <w:t xml:space="preserve">purposes of this reading (in particular, Dupont analysis covered later). In</w:t>
      </w:r>
      <w:r>
        <w:t xml:space="preserve"> </w:t>
      </w:r>
      <w:r>
        <w:t xml:space="preserve">practice, period-end total assets divided by period-end total equity is often</w:t>
      </w:r>
      <w:r>
        <w:t xml:space="preserve"> </w:t>
      </w:r>
      <w:r>
        <w:t xml:space="preserve">used.</w:t>
      </w:r>
    </w:p>
    <w:p>
      <w:r>
        <w:pict>
          <v:rect style="width:0;height:1.5pt" o:hralign="center" o:hrstd="t" o:hr="t"/>
        </w:pict>
      </w:r>
    </w:p>
    <w:bookmarkEnd w:id="42"/>
    <w:bookmarkStart w:id="43" w:name="debt-ratio-debt-to-ebitda-ratio"/>
    <w:p>
      <w:pPr>
        <w:pStyle w:val="Heading3"/>
      </w:pPr>
      <w:r>
        <w:t xml:space="preserve">Debt Ratio: Debt-to-EBITDA Ratio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Debt-to-EBITDA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Total or net debt</m:t>
              </m:r>
            </m:num>
            <m:den>
              <m:r>
                <m:rPr>
                  <m:nor/>
                  <m:sty m:val="p"/>
                </m:rPr>
                <m:t>EBITDA</m:t>
              </m:r>
            </m:den>
          </m:f>
        </m:oMath>
      </m:oMathPara>
    </w:p>
    <w:p>
      <w:pPr>
        <w:pStyle w:val="Compact"/>
        <w:numPr>
          <w:ilvl w:val="0"/>
          <w:numId w:val="1016"/>
        </w:numPr>
      </w:pPr>
      <w:r>
        <w:t xml:space="preserve">The debt-to-EBITDA ratio estimates how many years it would take to repay</w:t>
      </w:r>
      <w:r>
        <w:t xml:space="preserve"> </w:t>
      </w:r>
      <w:r>
        <w:t xml:space="preserve">total debt based on earnings before income taxes, depreciation, and</w:t>
      </w:r>
      <w:r>
        <w:t xml:space="preserve"> </w:t>
      </w:r>
      <w:r>
        <w:t xml:space="preserve">amortization (an approximation of operating cash flow). This ratio is</w:t>
      </w:r>
      <w:r>
        <w:t xml:space="preserve"> </w:t>
      </w:r>
      <w:r>
        <w:t xml:space="preserve">commonly used in debt covenants between issuers and debt investors.</w:t>
      </w:r>
    </w:p>
    <w:p>
      <w:r>
        <w:pict>
          <v:rect style="width:0;height:1.5pt" o:hralign="center" o:hrstd="t" o:hr="t"/>
        </w:pict>
      </w:r>
    </w:p>
    <w:bookmarkEnd w:id="43"/>
    <w:bookmarkStart w:id="44" w:name="coverage-ratio-interest-coverage"/>
    <w:p>
      <w:pPr>
        <w:pStyle w:val="Heading3"/>
      </w:pPr>
      <w:r>
        <w:t xml:space="preserve">Coverage Ratio: Interest Coverage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Interest coverage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EBIT</m:t>
              </m:r>
            </m:num>
            <m:den>
              <m:r>
                <m:rPr>
                  <m:nor/>
                  <m:sty m:val="p"/>
                </m:rPr>
                <m:t>Interest payments</m:t>
              </m:r>
            </m:den>
          </m:f>
        </m:oMath>
      </m:oMathPara>
    </w:p>
    <w:p>
      <w:pPr>
        <w:pStyle w:val="Compact"/>
        <w:numPr>
          <w:ilvl w:val="0"/>
          <w:numId w:val="1017"/>
        </w:numPr>
      </w:pPr>
      <w:r>
        <w:t xml:space="preserve">The interest coverage ratio measures the number of times a company’s</w:t>
      </w:r>
      <w:r>
        <w:t xml:space="preserve"> </w:t>
      </w:r>
      <w:r>
        <w:t xml:space="preserve">EBIT could cover its interest payments. Thus, it is sometimes referred to</w:t>
      </w:r>
      <w:r>
        <w:t xml:space="preserve"> </w:t>
      </w:r>
      <w:r>
        <w:t xml:space="preserve">as</w:t>
      </w:r>
      <w:r>
        <w:t xml:space="preserve"> </w:t>
      </w:r>
      <w:r>
        <w:t xml:space="preserve">“times interest earned.”</w:t>
      </w:r>
      <w:r>
        <w:br/>
      </w:r>
    </w:p>
    <w:p>
      <w:pPr>
        <w:pStyle w:val="Compact"/>
        <w:numPr>
          <w:ilvl w:val="0"/>
          <w:numId w:val="1017"/>
        </w:numPr>
      </w:pPr>
      <w:r>
        <w:t xml:space="preserve">A higher interest coverage ratio indicates stronger solvency, offering</w:t>
      </w:r>
      <w:r>
        <w:t xml:space="preserve"> </w:t>
      </w:r>
      <w:r>
        <w:t xml:space="preserve">greater assurance that the company can service its debt (i.e., bank debt,</w:t>
      </w:r>
      <w:r>
        <w:t xml:space="preserve"> </w:t>
      </w:r>
      <w:r>
        <w:t xml:space="preserve">bonds, notes) from operating earnings. This ratio is commonly used in debt</w:t>
      </w:r>
      <w:r>
        <w:t xml:space="preserve"> </w:t>
      </w:r>
      <w:r>
        <w:t xml:space="preserve">covenants between issuers and lenders or fixed income investors.</w:t>
      </w:r>
    </w:p>
    <w:p>
      <w:r>
        <w:pict>
          <v:rect style="width:0;height:1.5pt" o:hralign="center" o:hrstd="t" o:hr="t"/>
        </w:pict>
      </w:r>
    </w:p>
    <w:bookmarkEnd w:id="44"/>
    <w:bookmarkStart w:id="45" w:name="coverage-ratio-fixed-charge-coverage"/>
    <w:p>
      <w:pPr>
        <w:pStyle w:val="Heading3"/>
      </w:pPr>
      <w:r>
        <w:t xml:space="preserve">Coverage Ratio: Fixed Charge Coverage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Fixed charge coverage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EBIT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Lease payments</m:t>
              </m:r>
            </m:num>
            <m:den>
              <m:r>
                <m:rPr>
                  <m:nor/>
                  <m:sty m:val="p"/>
                </m:rPr>
                <m:t>Interest payments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Lease payments</m:t>
              </m:r>
            </m:den>
          </m:f>
        </m:oMath>
      </m:oMathPara>
    </w:p>
    <w:p>
      <w:pPr>
        <w:pStyle w:val="Compact"/>
        <w:numPr>
          <w:ilvl w:val="0"/>
          <w:numId w:val="1018"/>
        </w:numPr>
      </w:pPr>
      <w:r>
        <w:t xml:space="preserve">The fixed charge coverage ratio relates fixed charges, or obligations, to</w:t>
      </w:r>
      <w:r>
        <w:t xml:space="preserve"> </w:t>
      </w:r>
      <w:r>
        <w:t xml:space="preserve">the cash flow generated by the company. It measures the number of times a</w:t>
      </w:r>
      <w:r>
        <w:t xml:space="preserve"> </w:t>
      </w:r>
      <w:r>
        <w:t xml:space="preserve">company’s earnings (before interest, taxes, and lease payments) can cover</w:t>
      </w:r>
      <w:r>
        <w:t xml:space="preserve"> </w:t>
      </w:r>
      <w:r>
        <w:t xml:space="preserve">the company’s interest and lease payments.</w:t>
      </w:r>
    </w:p>
    <w:p>
      <w:pPr>
        <w:pStyle w:val="Compact"/>
        <w:numPr>
          <w:ilvl w:val="0"/>
          <w:numId w:val="1018"/>
        </w:numPr>
      </w:pPr>
      <w:r>
        <w:t xml:space="preserve">Similar to the interest coverage</w:t>
      </w:r>
      <w:r>
        <w:t xml:space="preserve"> </w:t>
      </w:r>
      <w:r>
        <w:t xml:space="preserve">ratio, a higher fixed charge coverage ratio implies stronger solvency,</w:t>
      </w:r>
      <w:r>
        <w:t xml:space="preserve"> </w:t>
      </w:r>
      <w:r>
        <w:t xml:space="preserve">offering greater assurance that the company can service its debt (i.e., bank</w:t>
      </w:r>
      <w:r>
        <w:t xml:space="preserve"> </w:t>
      </w:r>
      <w:r>
        <w:t xml:space="preserve">debt, bonds, notes, and leases) from normal earnings. The ratio is sometimes</w:t>
      </w:r>
      <w:r>
        <w:t xml:space="preserve"> </w:t>
      </w:r>
      <w:r>
        <w:t xml:space="preserve">used as an indication of the quality of the preferred dividend, with a higher</w:t>
      </w:r>
      <w:r>
        <w:t xml:space="preserve"> </w:t>
      </w:r>
      <w:r>
        <w:t xml:space="preserve">ratio indicating a more secure preferred dividend.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7" w:name="interpretation-of-profitability-ratios"/>
    <w:p>
      <w:pPr>
        <w:pStyle w:val="Heading2"/>
      </w:pPr>
      <w:r>
        <w:t xml:space="preserve">Interpretation of Profitability Ratios</w:t>
      </w:r>
    </w:p>
    <w:p>
      <w:pPr>
        <w:pStyle w:val="FirstParagraph"/>
      </w:pPr>
      <w:r>
        <w:rPr>
          <w:rStyle w:val="VerbatimChar"/>
        </w:rPr>
        <w:t xml:space="preserve">Profitability ratios</w:t>
      </w:r>
      <w:r>
        <w:t xml:space="preserve"> </w:t>
      </w:r>
      <w:r>
        <w:t xml:space="preserve">measure the company’s ability to generate profits from</w:t>
      </w:r>
      <w:r>
        <w:t xml:space="preserve"> </w:t>
      </w:r>
      <w:r>
        <w:t xml:space="preserve">its resources (assets) or sales.</w:t>
      </w:r>
    </w:p>
    <w:p>
      <w:pPr>
        <w:pStyle w:val="BodyText"/>
      </w:pPr>
      <w:r>
        <w:rPr>
          <w:b/>
          <w:bCs/>
        </w:rPr>
        <w:t xml:space="preserve">Return-on-sales profitability ratios</w:t>
      </w:r>
      <w:r>
        <w:t xml:space="preserve"> </w:t>
      </w:r>
      <w:r>
        <w:t xml:space="preserve">express various subtotals on the</w:t>
      </w:r>
      <w:r>
        <w:t xml:space="preserve"> </w:t>
      </w:r>
      <w:r>
        <w:t xml:space="preserve">income statement (e.g., gross profit, operating profit, net profit) as a</w:t>
      </w:r>
      <w:r>
        <w:t xml:space="preserve"> </w:t>
      </w:r>
      <w:r>
        <w:t xml:space="preserve">percentage of revenue.</w:t>
      </w:r>
    </w:p>
    <w:p>
      <w:pPr>
        <w:pStyle w:val="BodyText"/>
      </w:pPr>
      <w:r>
        <w:rPr>
          <w:b/>
          <w:bCs/>
        </w:rPr>
        <w:t xml:space="preserve">Return on investment profitability ratios</w:t>
      </w:r>
      <w:r>
        <w:t xml:space="preserve"> </w:t>
      </w:r>
      <w:r>
        <w:t xml:space="preserve">measure income relative to assets,</w:t>
      </w:r>
      <w:r>
        <w:t xml:space="preserve"> </w:t>
      </w:r>
      <w:r>
        <w:t xml:space="preserve">equity, or total capital employed by the company.</w:t>
      </w:r>
    </w:p>
    <w:p>
      <w:pPr>
        <w:pStyle w:val="BodyText"/>
      </w:pPr>
      <w:r>
        <w:t xml:space="preserve">In the following, we discuss the interpretation of the profitability ratios</w:t>
      </w:r>
      <w:r>
        <w:t xml:space="preserve"> </w:t>
      </w:r>
      <w:r>
        <w:t xml:space="preserve">presented in this module: Exhibit 27. For each of the profitability ratios, a</w:t>
      </w:r>
      <w:r>
        <w:t xml:space="preserve"> </w:t>
      </w:r>
      <w:r>
        <w:t xml:space="preserve">higher ratio indicates greater profitability.</w:t>
      </w:r>
    </w:p>
    <w:p>
      <w:r>
        <w:pict>
          <v:rect style="width:0;height:1.5pt" o:hralign="center" o:hrstd="t" o:hr="t"/>
        </w:pict>
      </w:r>
    </w:p>
    <w:bookmarkStart w:id="47" w:name="return-on-sales-gross-profit-margin"/>
    <w:p>
      <w:pPr>
        <w:pStyle w:val="Heading3"/>
      </w:pPr>
      <w:r>
        <w:t xml:space="preserve">Return-on-sales: Gross Profit Margin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Gross profit margin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Gross profit</m:t>
              </m:r>
            </m:num>
            <m:den>
              <m:r>
                <m:rPr>
                  <m:nor/>
                  <m:sty m:val="p"/>
                </m:rPr>
                <m:t>Revenue</m:t>
              </m:r>
            </m:den>
          </m:f>
        </m:oMath>
      </m:oMathPara>
    </w:p>
    <w:p>
      <w:pPr>
        <w:pStyle w:val="Compact"/>
        <w:numPr>
          <w:ilvl w:val="0"/>
          <w:numId w:val="1019"/>
        </w:numPr>
      </w:pPr>
      <w:r>
        <w:t xml:space="preserve">Gross profit margin indicates the percentage of revenue available to cover</w:t>
      </w:r>
      <w:r>
        <w:t xml:space="preserve"> </w:t>
      </w:r>
      <w:r>
        <w:t xml:space="preserve">operating and other expenses and to generate profit. Higher gross profit</w:t>
      </w:r>
      <w:r>
        <w:t xml:space="preserve"> </w:t>
      </w:r>
      <w:r>
        <w:t xml:space="preserve">margin indicates some combination of higher product pricing and lower</w:t>
      </w:r>
      <w:r>
        <w:t xml:space="preserve"> </w:t>
      </w:r>
      <w:r>
        <w:t xml:space="preserve">product costs. The ability to charge a higher price is constrained by</w:t>
      </w:r>
      <w:r>
        <w:t xml:space="preserve"> </w:t>
      </w:r>
      <w:r>
        <w:t xml:space="preserve">competition, so gross profits are affected by (and usually inversely related</w:t>
      </w:r>
      <w:r>
        <w:t xml:space="preserve"> </w:t>
      </w:r>
      <w:r>
        <w:t xml:space="preserve">to) competition. If a product has a competitive advantage (e.g., superior</w:t>
      </w:r>
      <w:r>
        <w:t xml:space="preserve"> </w:t>
      </w:r>
      <w:r>
        <w:t xml:space="preserve">branding, better quality, or exclusive technology), the company is better</w:t>
      </w:r>
      <w:r>
        <w:t xml:space="preserve"> </w:t>
      </w:r>
      <w:r>
        <w:t xml:space="preserve">able to charge more for it. On the cost side, higher gross profit margin can</w:t>
      </w:r>
      <w:r>
        <w:t xml:space="preserve"> </w:t>
      </w:r>
      <w:r>
        <w:t xml:space="preserve">also indicate that a company has a competitive advantage in product costs.</w:t>
      </w:r>
    </w:p>
    <w:p>
      <w:r>
        <w:pict>
          <v:rect style="width:0;height:1.5pt" o:hralign="center" o:hrstd="t" o:hr="t"/>
        </w:pict>
      </w:r>
    </w:p>
    <w:bookmarkEnd w:id="47"/>
    <w:bookmarkStart w:id="48" w:name="return-on-sales-operating-profit-margin"/>
    <w:p>
      <w:pPr>
        <w:pStyle w:val="Heading3"/>
      </w:pPr>
      <w:r>
        <w:t xml:space="preserve">Return-on-sales: Operating Profit Margin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Operating profit margin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profit from operations</m:t>
              </m:r>
            </m:num>
            <m:den>
              <m:r>
                <m:rPr>
                  <m:nor/>
                  <m:sty m:val="p"/>
                </m:rPr>
                <m:t>revenue</m:t>
              </m:r>
            </m:den>
          </m:f>
        </m:oMath>
      </m:oMathPara>
    </w:p>
    <w:p>
      <w:pPr>
        <w:pStyle w:val="Compact"/>
        <w:numPr>
          <w:ilvl w:val="0"/>
          <w:numId w:val="1020"/>
        </w:numPr>
      </w:pPr>
      <w:r>
        <w:t xml:space="preserve">Operating profit is calculated as gross profit minus operating costs. So,</w:t>
      </w:r>
      <w:r>
        <w:t xml:space="preserve"> </w:t>
      </w:r>
      <w:r>
        <w:t xml:space="preserve">an operating profit margin increasing faster than the gross profit margin</w:t>
      </w:r>
      <w:r>
        <w:t xml:space="preserve"> </w:t>
      </w:r>
      <w:r>
        <w:t xml:space="preserve">can indicate improvements in controlling operating costs, such as</w:t>
      </w:r>
      <w:r>
        <w:t xml:space="preserve"> </w:t>
      </w:r>
      <w:r>
        <w:t xml:space="preserve">administrative overheads. In contrast, a declining operating profit margin</w:t>
      </w:r>
      <w:r>
        <w:t xml:space="preserve"> </w:t>
      </w:r>
      <w:r>
        <w:t xml:space="preserve">could be an indicator of deteriorating control over operating costs.</w:t>
      </w:r>
    </w:p>
    <w:p>
      <w:r>
        <w:pict>
          <v:rect style="width:0;height:1.5pt" o:hralign="center" o:hrstd="t" o:hr="t"/>
        </w:pict>
      </w:r>
    </w:p>
    <w:bookmarkEnd w:id="48"/>
    <w:bookmarkStart w:id="49" w:name="return-on-sales-pretax-margin"/>
    <w:p>
      <w:pPr>
        <w:pStyle w:val="Heading3"/>
      </w:pPr>
      <w:r>
        <w:t xml:space="preserve">Return-on-sales: Pretax Margin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pretax margin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EBT</m:t>
              </m:r>
            </m:num>
            <m:den>
              <m:r>
                <m:rPr>
                  <m:nor/>
                  <m:sty m:val="p"/>
                </m:rPr>
                <m:t>revenue</m:t>
              </m:r>
            </m:den>
          </m:f>
        </m:oMath>
      </m:oMathPara>
    </w:p>
    <w:p>
      <w:pPr>
        <w:pStyle w:val="Compact"/>
        <w:numPr>
          <w:ilvl w:val="0"/>
          <w:numId w:val="1021"/>
        </w:numPr>
      </w:pPr>
      <w:r>
        <w:t xml:space="preserve">EBT: earnings before tax but after interest.</w:t>
      </w:r>
      <w:r>
        <w:br/>
      </w:r>
    </w:p>
    <w:p>
      <w:pPr>
        <w:pStyle w:val="Compact"/>
        <w:numPr>
          <w:ilvl w:val="0"/>
          <w:numId w:val="1021"/>
        </w:numPr>
      </w:pPr>
      <w:r>
        <w:t xml:space="preserve">Pretax income (also called</w:t>
      </w:r>
      <w:r>
        <w:t xml:space="preserve"> </w:t>
      </w:r>
      <w:r>
        <w:t xml:space="preserve">“earnings before tax”</w:t>
      </w:r>
      <w:r>
        <w:t xml:space="preserve"> </w:t>
      </w:r>
      <w:r>
        <w:t xml:space="preserve">or EBT) is calculated as</w:t>
      </w:r>
      <w:r>
        <w:t xml:space="preserve"> </w:t>
      </w:r>
      <w:r>
        <w:t xml:space="preserve">operating profit minus interest, and the pretax margin is the ratio of pretax</w:t>
      </w:r>
      <w:r>
        <w:t xml:space="preserve"> </w:t>
      </w:r>
      <w:r>
        <w:t xml:space="preserve">income to revenue. The pretax margin reflects the effects on profitability</w:t>
      </w:r>
      <w:r>
        <w:t xml:space="preserve"> </w:t>
      </w:r>
      <w:r>
        <w:t xml:space="preserve">of leverage and other (non-operating) income and expenses. If a company’s</w:t>
      </w:r>
      <w:r>
        <w:t xml:space="preserve"> </w:t>
      </w:r>
      <w:r>
        <w:t xml:space="preserve">pretax margin is increasing primarily as a result of increasing amounts of</w:t>
      </w:r>
      <w:r>
        <w:t xml:space="preserve"> </w:t>
      </w:r>
      <w:r>
        <w:t xml:space="preserve">non-operating income, the analyst should evaluate whether this increase</w:t>
      </w:r>
      <w:r>
        <w:t xml:space="preserve"> </w:t>
      </w:r>
      <w:r>
        <w:t xml:space="preserve">reflects a deliberate change in a company’s business focus and, therefore,</w:t>
      </w:r>
      <w:r>
        <w:t xml:space="preserve"> </w:t>
      </w:r>
      <w:r>
        <w:t xml:space="preserve">the likelihood that the increase will continue.</w:t>
      </w:r>
    </w:p>
    <w:p>
      <w:r>
        <w:pict>
          <v:rect style="width:0;height:1.5pt" o:hralign="center" o:hrstd="t" o:hr="t"/>
        </w:pict>
      </w:r>
    </w:p>
    <w:bookmarkEnd w:id="49"/>
    <w:bookmarkStart w:id="50" w:name="return-on-sales-net-profit-margin"/>
    <w:p>
      <w:pPr>
        <w:pStyle w:val="Heading3"/>
      </w:pPr>
      <w:r>
        <w:t xml:space="preserve">Return-on-sales: Net Profit Margin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Net profit margin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Revenue</m:t>
              </m:r>
            </m:den>
          </m:f>
        </m:oMath>
      </m:oMathPara>
    </w:p>
    <w:p>
      <w:pPr>
        <w:pStyle w:val="Compact"/>
        <w:numPr>
          <w:ilvl w:val="0"/>
          <w:numId w:val="1022"/>
        </w:numPr>
      </w:pPr>
      <w:r>
        <w:t xml:space="preserve">Net Profit Margin, also known as profit margin and return on sales.</w:t>
      </w:r>
      <w:r>
        <w:br/>
      </w:r>
    </w:p>
    <w:p>
      <w:pPr>
        <w:pStyle w:val="Compact"/>
        <w:numPr>
          <w:ilvl w:val="0"/>
          <w:numId w:val="1022"/>
        </w:numPr>
      </w:pPr>
      <w:r>
        <w:t xml:space="preserve">Net profit, or net income, is calculated as revenue minus all expenses.</w:t>
      </w:r>
      <w:r>
        <w:t xml:space="preserve"> </w:t>
      </w:r>
      <w:r>
        <w:t xml:space="preserve">Net income includes both recurring and non-recurring components. Generally,</w:t>
      </w:r>
      <w:r>
        <w:t xml:space="preserve"> </w:t>
      </w:r>
      <w:r>
        <w:t xml:space="preserve">the net income used in calculating the net profit margin is adjusted for</w:t>
      </w:r>
      <w:r>
        <w:t xml:space="preserve"> </w:t>
      </w:r>
      <w:r>
        <w:t xml:space="preserve">non-recurring items to offer a better view of a company’s potential future</w:t>
      </w:r>
      <w:r>
        <w:t xml:space="preserve"> </w:t>
      </w:r>
      <w:r>
        <w:t xml:space="preserve">profitability.</w:t>
      </w:r>
    </w:p>
    <w:p>
      <w:r>
        <w:pict>
          <v:rect style="width:0;height:1.5pt" o:hralign="center" o:hrstd="t" o:hr="t"/>
        </w:pict>
      </w:r>
    </w:p>
    <w:bookmarkEnd w:id="50"/>
    <w:bookmarkStart w:id="51" w:name="X585ce6ac5eaea79d42d22c2a1d3316151d96080"/>
    <w:p>
      <w:pPr>
        <w:pStyle w:val="Heading3"/>
      </w:pPr>
      <w:r>
        <w:t xml:space="preserve">Return on Investment: Return on Assets (ROA) - Part I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Return on Assets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Average Total Assets</m:t>
              </m:r>
            </m:den>
          </m:f>
        </m:oMath>
      </m:oMathPara>
    </w:p>
    <w:p>
      <w:pPr>
        <w:pStyle w:val="Compact"/>
        <w:numPr>
          <w:ilvl w:val="0"/>
          <w:numId w:val="1023"/>
        </w:numPr>
      </w:pPr>
      <w:r>
        <w:t xml:space="preserve">Return on Assets(ROA) measures the return earned by a company on its assets.</w:t>
      </w:r>
      <w:r>
        <w:t xml:space="preserve"> </w:t>
      </w:r>
      <w:r>
        <w:t xml:space="preserve">The higher the ratio, the more income is generated by a given level of</w:t>
      </w:r>
      <w:r>
        <w:t xml:space="preserve"> </w:t>
      </w:r>
      <w:r>
        <w:t xml:space="preserve">assets.</w:t>
      </w:r>
      <w:r>
        <w:br/>
      </w:r>
    </w:p>
    <w:p>
      <w:pPr>
        <w:pStyle w:val="Compact"/>
        <w:numPr>
          <w:ilvl w:val="0"/>
          <w:numId w:val="1023"/>
        </w:numPr>
      </w:pPr>
      <w:r>
        <w:t xml:space="preserve">An issue with this computation is that net income is the return to equity</w:t>
      </w:r>
      <w:r>
        <w:t xml:space="preserve"> </w:t>
      </w:r>
      <w:r>
        <w:t xml:space="preserve">holders, whereas assets are financed by both equity holders and creditors.</w:t>
      </w:r>
      <w:r>
        <w:t xml:space="preserve"> </w:t>
      </w:r>
      <w:r>
        <w:t xml:space="preserve">Interest expense (the return to creditors) has already been subtracted in</w:t>
      </w:r>
      <w:r>
        <w:t xml:space="preserve"> </w:t>
      </w:r>
      <w:r>
        <w:t xml:space="preserve">the numerator.</w:t>
      </w:r>
    </w:p>
    <w:p>
      <w:r>
        <w:pict>
          <v:rect style="width:0;height:1.5pt" o:hralign="center" o:hrstd="t" o:hr="t"/>
        </w:pict>
      </w:r>
    </w:p>
    <w:bookmarkEnd w:id="51"/>
    <w:bookmarkStart w:id="52" w:name="X0733511b7951bda320464141b34fa3f58f7645e"/>
    <w:p>
      <w:pPr>
        <w:pStyle w:val="Heading3"/>
      </w:pPr>
      <w:r>
        <w:t xml:space="preserve">Return on Investment: Return on Assets (ROA) - Part II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Return on Assets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  <m:r>
                <m:rPr>
                  <m:sty m:val="p"/>
                </m:rPr>
                <m:t>+</m:t>
              </m:r>
              <m:r>
                <m:rPr>
                  <m:nor/>
                  <m:sty m:val="p"/>
                </m:rPr>
                <m:t>Interest expense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Tax rate</m:t>
                  </m:r>
                </m:e>
              </m:d>
            </m:num>
            <m:den>
              <m:r>
                <m:rPr>
                  <m:nor/>
                  <m:sty m:val="p"/>
                </m:rPr>
                <m:t>Average Total Assets</m:t>
              </m:r>
            </m:den>
          </m:f>
        </m:oMath>
      </m:oMathPara>
    </w:p>
    <w:p>
      <w:pPr>
        <w:pStyle w:val="Compact"/>
        <w:numPr>
          <w:ilvl w:val="0"/>
          <w:numId w:val="1024"/>
        </w:numPr>
      </w:pPr>
      <w:r>
        <w:t xml:space="preserve">Some analysts, therefore, prefer to add back interest expense in the</w:t>
      </w:r>
      <w:r>
        <w:t xml:space="preserve"> </w:t>
      </w:r>
      <w:r>
        <w:t xml:space="preserve">numerator. In such cases, interest must be adjusted for income taxes because</w:t>
      </w:r>
      <w:r>
        <w:t xml:space="preserve"> </w:t>
      </w:r>
      <w:r>
        <w:t xml:space="preserve">net income is determined after taxes.</w:t>
      </w:r>
    </w:p>
    <w:p>
      <w:r>
        <w:pict>
          <v:rect style="width:0;height:1.5pt" o:hralign="center" o:hrstd="t" o:hr="t"/>
        </w:pict>
      </w:r>
    </w:p>
    <w:bookmarkEnd w:id="52"/>
    <w:bookmarkStart w:id="53" w:name="Xe5d48f3e3e449be4e3c11eabe7975a4cde67f7c"/>
    <w:p>
      <w:pPr>
        <w:pStyle w:val="Heading3"/>
      </w:pPr>
      <w:r>
        <w:t xml:space="preserve">Return on Investment: Operating ROA - Part III - Pre-Interest and Pre-Tax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Return on Assets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Operating Income or EBIT</m:t>
              </m:r>
            </m:num>
            <m:den>
              <m:r>
                <m:rPr>
                  <m:nor/>
                  <m:sty m:val="p"/>
                </m:rPr>
                <m:t>Average Total Assets</m:t>
              </m:r>
            </m:den>
          </m:f>
        </m:oMath>
      </m:oMathPara>
    </w:p>
    <w:p>
      <w:pPr>
        <w:pStyle w:val="Compact"/>
        <w:numPr>
          <w:ilvl w:val="0"/>
          <w:numId w:val="1025"/>
        </w:numPr>
      </w:pPr>
      <w:r>
        <w:t xml:space="preserve">In this ROA calculation, returns are measured prior to deducting interest on</w:t>
      </w:r>
      <w:r>
        <w:t xml:space="preserve"> </w:t>
      </w:r>
      <w:r>
        <w:t xml:space="preserve">debt capital (i.e., as operating income or EBIT). This measure reflects the</w:t>
      </w:r>
      <w:r>
        <w:t xml:space="preserve"> </w:t>
      </w:r>
      <w:r>
        <w:t xml:space="preserve">return on all assets invested in the company, whether financed with</w:t>
      </w:r>
      <w:r>
        <w:t xml:space="preserve"> </w:t>
      </w:r>
      <w:r>
        <w:t xml:space="preserve">liabilities, debt, or equity.</w:t>
      </w:r>
    </w:p>
    <w:p>
      <w:r>
        <w:pict>
          <v:rect style="width:0;height:1.5pt" o:hralign="center" o:hrstd="t" o:hr="t"/>
        </w:pict>
      </w:r>
    </w:p>
    <w:bookmarkEnd w:id="53"/>
    <w:bookmarkStart w:id="54" w:name="Xec062bc1de25bdb26812de42f9ae61b288c198c"/>
    <w:p>
      <w:pPr>
        <w:pStyle w:val="Heading3"/>
      </w:pPr>
      <w:r>
        <w:t xml:space="preserve">Return on Investment: Return on Invested Capital (ROIC)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ROIC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EBIT</m:t>
              </m:r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nor/>
                      <m:sty m:val="p"/>
                    </m:rPr>
                    <m:t>Effective Tax Rate</m:t>
                  </m:r>
                </m:e>
              </m:d>
            </m:num>
            <m:den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nor/>
                        <m:sty m:val="p"/>
                      </m:rPr>
                      <m:t>Average total short-term and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long-term debt and equity</m:t>
                    </m:r>
                  </m:e>
                </m:mr>
              </m:m>
            </m:den>
          </m:f>
        </m:oMath>
      </m:oMathPara>
    </w:p>
    <w:p>
      <w:pPr>
        <w:pStyle w:val="Compact"/>
        <w:numPr>
          <w:ilvl w:val="0"/>
          <w:numId w:val="1026"/>
        </w:numPr>
      </w:pPr>
      <w:r>
        <w:t xml:space="preserve">ROIC measures the after-tax profitability a company earns on all of the</w:t>
      </w:r>
      <w:r>
        <w:t xml:space="preserve"> </w:t>
      </w:r>
      <w:r>
        <w:t xml:space="preserve">capital that it employs (short-term debt, long-term debt, and equity). As</w:t>
      </w:r>
      <w:r>
        <w:t xml:space="preserve"> </w:t>
      </w:r>
      <w:r>
        <w:t xml:space="preserve">with operating ROA, returns are measured prior to deducting interest on debt</w:t>
      </w:r>
      <w:r>
        <w:t xml:space="preserve"> </w:t>
      </w:r>
      <w:r>
        <w:t xml:space="preserve">capital (i.e., as operating income or EBIT).</w:t>
      </w:r>
    </w:p>
    <w:p>
      <w:r>
        <w:pict>
          <v:rect style="width:0;height:1.5pt" o:hralign="center" o:hrstd="t" o:hr="t"/>
        </w:pict>
      </w:r>
    </w:p>
    <w:bookmarkEnd w:id="54"/>
    <w:bookmarkStart w:id="55" w:name="Xfc947328997b0e9fd372ade59cafe762e278cfa"/>
    <w:p>
      <w:pPr>
        <w:pStyle w:val="Heading3"/>
      </w:pPr>
      <w:r>
        <w:t xml:space="preserve">Return on Investment: Return on Equity (ROE)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ROE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Average total equity</m:t>
              </m:r>
            </m:den>
          </m:f>
        </m:oMath>
      </m:oMathPara>
    </w:p>
    <w:p>
      <w:pPr>
        <w:pStyle w:val="Compact"/>
        <w:numPr>
          <w:ilvl w:val="0"/>
          <w:numId w:val="1027"/>
        </w:numPr>
      </w:pPr>
      <w:r>
        <w:t xml:space="preserve">ROE measures the return earned by a company on its equity capital, including</w:t>
      </w:r>
      <w:r>
        <w:t xml:space="preserve"> </w:t>
      </w:r>
      <w:r>
        <w:t xml:space="preserve">minority equity, preferred equity, and common equity. As noted, return is</w:t>
      </w:r>
      <w:r>
        <w:t xml:space="preserve"> </w:t>
      </w:r>
      <w:r>
        <w:t xml:space="preserve">measured as net income (i.e., interest on debt capital is not included in the</w:t>
      </w:r>
      <w:r>
        <w:t xml:space="preserve"> </w:t>
      </w:r>
      <w:r>
        <w:t xml:space="preserve">return on equity capital).</w:t>
      </w:r>
    </w:p>
    <w:p>
      <w:r>
        <w:pict>
          <v:rect style="width:0;height:1.5pt" o:hralign="center" o:hrstd="t" o:hr="t"/>
        </w:pict>
      </w:r>
    </w:p>
    <w:bookmarkEnd w:id="55"/>
    <w:bookmarkStart w:id="56" w:name="X7bc055656f953b801376574eeff2013b84ad269"/>
    <w:p>
      <w:pPr>
        <w:pStyle w:val="Heading3"/>
      </w:pPr>
      <w:r>
        <w:t xml:space="preserve">Return on Investment: Return on Common Equity - ROCE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ROCE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 - Preferred dividends</m:t>
              </m:r>
            </m:num>
            <m:den>
              <m:r>
                <m:rPr>
                  <m:nor/>
                  <m:sty m:val="p"/>
                </m:rPr>
                <m:t>Average Common Equity</m:t>
              </m:r>
            </m:den>
          </m:f>
        </m:oMath>
      </m:oMathPara>
    </w:p>
    <w:p>
      <w:pPr>
        <w:pStyle w:val="Compact"/>
        <w:numPr>
          <w:ilvl w:val="0"/>
          <w:numId w:val="1028"/>
        </w:numPr>
      </w:pPr>
      <w:r>
        <w:t xml:space="preserve">A variation of ROE is return on common equity, which measures the return</w:t>
      </w:r>
      <w:r>
        <w:t xml:space="preserve"> </w:t>
      </w:r>
      <w:r>
        <w:t xml:space="preserve">earned by a company only on its common equity.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1" w:name="dupont-analysisthe-decomposition-of-roe"/>
    <w:p>
      <w:pPr>
        <w:pStyle w:val="Heading2"/>
      </w:pPr>
      <w:r>
        <w:t xml:space="preserve">DUPONT ANALYSIS—THE DECOMPOSITION OF ROE</w:t>
      </w:r>
    </w:p>
    <w:p>
      <w:r>
        <w:pict>
          <v:rect style="width:0;height:1.5pt" o:hralign="center" o:hrstd="t" o:hr="t"/>
        </w:pict>
      </w:r>
    </w:p>
    <w:bookmarkStart w:id="58" w:name="X6941916b2c87971fdbbe74e3a30545e2f59e51a"/>
    <w:p>
      <w:pPr>
        <w:pStyle w:val="Heading3"/>
      </w:pPr>
      <w:r>
        <w:t xml:space="preserve">Expressing ROE as a product of only two of its components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ROE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Average Total Assets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Average total assets</m:t>
              </m:r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Average Total Assets</m:t>
              </m:r>
            </m:num>
            <m:den>
              <m:r>
                <m:rPr>
                  <m:nor/>
                  <m:sty m:val="p"/>
                </m:rPr>
                <m:t>Average Shareholders’ Equity</m:t>
              </m:r>
            </m:den>
          </m:f>
        </m:oMath>
      </m:oMathPara>
    </w:p>
    <w:p>
      <w:pPr>
        <w:pStyle w:val="FirstParagraph"/>
      </w:pPr>
      <w:r>
        <w:t xml:space="preserve">which can be interpreted as follows: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ROE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ROA</m:t>
          </m:r>
          <m:r>
            <m:rPr>
              <m:sty m:val="p"/>
            </m:rPr>
            <m:t>×</m:t>
          </m:r>
          <m:r>
            <m:rPr>
              <m:nor/>
              <m:sty m:val="p"/>
            </m:rPr>
            <m:t>Leverage</m:t>
          </m:r>
        </m:oMath>
      </m:oMathPara>
    </w:p>
    <w:p>
      <w:pPr>
        <w:pStyle w:val="Compact"/>
        <w:numPr>
          <w:ilvl w:val="0"/>
          <w:numId w:val="1029"/>
        </w:numPr>
      </w:pPr>
      <w:r>
        <w:t xml:space="preserve">In other words, ROE is a function of a company’s ROA and its use of financial</w:t>
      </w:r>
      <w:r>
        <w:t xml:space="preserve"> </w:t>
      </w:r>
      <w:r>
        <w:t xml:space="preserve">leverage (</w:t>
      </w:r>
      <w:r>
        <w:t xml:space="preserve">“leverage”</w:t>
      </w:r>
      <w:r>
        <w:t xml:space="preserve"> </w:t>
      </w:r>
      <w:r>
        <w:t xml:space="preserve">for short, in this discussion).</w:t>
      </w:r>
      <w:r>
        <w:br/>
      </w:r>
    </w:p>
    <w:p>
      <w:pPr>
        <w:pStyle w:val="Compact"/>
        <w:numPr>
          <w:ilvl w:val="0"/>
          <w:numId w:val="1029"/>
        </w:numPr>
      </w:pPr>
      <w:r>
        <w:t xml:space="preserve">A company can improve its ROE by improving ROA or by increasing leverage.</w:t>
      </w:r>
      <w:r>
        <w:br/>
      </w:r>
    </w:p>
    <w:p>
      <w:pPr>
        <w:pStyle w:val="Compact"/>
        <w:numPr>
          <w:ilvl w:val="0"/>
          <w:numId w:val="1029"/>
        </w:numPr>
      </w:pPr>
      <w:r>
        <w:t xml:space="preserve">Consistent with the definition given in this module, leverage is measured as</w:t>
      </w:r>
      <w:r>
        <w:t xml:space="preserve"> </w:t>
      </w:r>
      <w:r>
        <w:t xml:space="preserve">average total assets divided by average shareholders’ equity.</w:t>
      </w:r>
      <w:r>
        <w:br/>
      </w:r>
    </w:p>
    <w:p>
      <w:pPr>
        <w:pStyle w:val="Compact"/>
        <w:numPr>
          <w:ilvl w:val="0"/>
          <w:numId w:val="1029"/>
        </w:numPr>
      </w:pPr>
      <w:r>
        <w:t xml:space="preserve">if a company had no leverage (no liabilities), its leverage ratio would equal</w:t>
      </w:r>
      <w:r>
        <w:t xml:space="preserve"> </w:t>
      </w:r>
      <w:r>
        <w:t xml:space="preserve">1.0 and ROE would exactly equal ROA.</w:t>
      </w:r>
      <w:r>
        <w:br/>
      </w:r>
    </w:p>
    <w:p>
      <w:pPr>
        <w:pStyle w:val="Compact"/>
        <w:numPr>
          <w:ilvl w:val="0"/>
          <w:numId w:val="1029"/>
        </w:numPr>
      </w:pPr>
      <w:r>
        <w:t xml:space="preserve">As a company takes on liabilities, its leverage increases.</w:t>
      </w:r>
      <w:r>
        <w:br/>
      </w:r>
    </w:p>
    <w:p>
      <w:pPr>
        <w:pStyle w:val="Compact"/>
        <w:numPr>
          <w:ilvl w:val="0"/>
          <w:numId w:val="1029"/>
        </w:numPr>
      </w:pPr>
      <w:r>
        <w:t xml:space="preserve">As long as a company is able to borrow at a rate lower than the marginal rate</w:t>
      </w:r>
      <w:r>
        <w:t xml:space="preserve"> </w:t>
      </w:r>
      <w:r>
        <w:t xml:space="preserve">it can earn investing the borrowed money, the company is making an effective</w:t>
      </w:r>
      <w:r>
        <w:t xml:space="preserve"> </w:t>
      </w:r>
      <w:r>
        <w:t xml:space="preserve">use of leverage and ROE would increase as leverage increases.</w:t>
      </w:r>
      <w:r>
        <w:br/>
      </w:r>
    </w:p>
    <w:p>
      <w:pPr>
        <w:pStyle w:val="Compact"/>
        <w:numPr>
          <w:ilvl w:val="0"/>
          <w:numId w:val="1029"/>
        </w:numPr>
      </w:pPr>
      <w:r>
        <w:t xml:space="preserve">If a company’s borrowing cost exceeds the marginal rate it can earn on</w:t>
      </w:r>
      <w:r>
        <w:t xml:space="preserve"> </w:t>
      </w:r>
      <w:r>
        <w:t xml:space="preserve">investing in the business, ROE would decline as leverage increased because</w:t>
      </w:r>
      <w:r>
        <w:t xml:space="preserve"> </w:t>
      </w:r>
      <w:r>
        <w:t xml:space="preserve">the effect of borrowing would be to depress ROA.</w:t>
      </w:r>
    </w:p>
    <w:p>
      <w:r>
        <w:pict>
          <v:rect style="width:0;height:1.5pt" o:hralign="center" o:hrstd="t" o:hr="t"/>
        </w:pict>
      </w:r>
    </w:p>
    <w:bookmarkEnd w:id="58"/>
    <w:bookmarkStart w:id="59" w:name="X198d3aea0db86c99618657c977c0ca3356b3d5b"/>
    <w:p>
      <w:pPr>
        <w:pStyle w:val="Heading3"/>
      </w:pPr>
      <w:r>
        <w:t xml:space="preserve">Expressing ROE as a product of three component ratios</w:t>
      </w:r>
    </w:p>
    <w:p>
      <w:pPr>
        <w:pStyle w:val="FirstParagraph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Average Shareholders’ Equity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Revenue</m:t>
              </m:r>
            </m:den>
          </m:f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r>
                <m:rPr>
                  <m:nor/>
                  <m:sty m:val="p"/>
                </m:rPr>
                <m:t>Average Total Assets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Average Total Assets</m:t>
              </m:r>
            </m:num>
            <m:den>
              <m:r>
                <m:rPr>
                  <m:nor/>
                  <m:sty m:val="p"/>
                </m:rPr>
                <m:t>Average Shareholders’ Equity</m:t>
              </m:r>
            </m:den>
          </m:f>
        </m:oMath>
      </m:oMathPara>
    </w:p>
    <w:p>
      <w:pPr>
        <w:pStyle w:val="FirstParagraph"/>
      </w:pPr>
      <w:r>
        <w:t xml:space="preserve">which can be interpreted as follows: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ROE</m:t>
          </m:r>
          <m:r>
            <m:rPr>
              <m:sty m:val="p"/>
            </m:rPr>
            <m:t>=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Net profit</m:t>
                </m:r>
              </m:e>
            </m:mr>
            <m:mr>
              <m:e>
                <m:r>
                  <m:rPr>
                    <m:nor/>
                    <m:sty m:val="p"/>
                  </m:rPr>
                  <m:t>margin</m:t>
                </m:r>
              </m:e>
            </m:mr>
          </m:m>
          <m:r>
            <m:rPr>
              <m:sty m:val="p"/>
            </m:rPr>
            <m:t>×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Total asset</m:t>
                </m:r>
              </m:e>
            </m:mr>
            <m:mr>
              <m:e>
                <m:r>
                  <m:rPr>
                    <m:nor/>
                    <m:sty m:val="p"/>
                  </m:rPr>
                  <m:t>turnover</m:t>
                </m:r>
              </m:e>
            </m:mr>
          </m:m>
          <m:r>
            <m:rPr>
              <m:sty m:val="p"/>
            </m:rPr>
            <m:t>×</m:t>
          </m:r>
          <m:r>
            <m:rPr>
              <m:nor/>
              <m:sty m:val="p"/>
            </m:rPr>
            <m:t>leverage</m:t>
          </m:r>
        </m:oMath>
      </m:oMathPara>
    </w:p>
    <w:p>
      <w:pPr>
        <w:pStyle w:val="Compact"/>
        <w:numPr>
          <w:ilvl w:val="0"/>
          <w:numId w:val="1030"/>
        </w:numPr>
      </w:pPr>
      <w:r>
        <w:t xml:space="preserve">The first term on the right-hand side of this equation is the net profit</w:t>
      </w:r>
      <w:r>
        <w:t xml:space="preserve"> </w:t>
      </w:r>
      <w:r>
        <w:t xml:space="preserve">margin, an indicator of profitability: how much income a company derives per</w:t>
      </w:r>
      <w:r>
        <w:t xml:space="preserve"> </w:t>
      </w:r>
      <w:r>
        <w:t xml:space="preserve">one monetary unit (e.g., euro or US dollar) of sales.</w:t>
      </w:r>
      <w:r>
        <w:br/>
      </w:r>
    </w:p>
    <w:p>
      <w:pPr>
        <w:pStyle w:val="Compact"/>
        <w:numPr>
          <w:ilvl w:val="0"/>
          <w:numId w:val="1030"/>
        </w:numPr>
      </w:pPr>
      <w:r>
        <w:t xml:space="preserve">The second term on the right is the asset turnover ratio, an indicator of</w:t>
      </w:r>
      <w:r>
        <w:t xml:space="preserve"> </w:t>
      </w:r>
      <w:r>
        <w:t xml:space="preserve">efficiency: how much revenue a company generates per one money unit of assets.</w:t>
      </w:r>
      <w:r>
        <w:t xml:space="preserve"> </w:t>
      </w:r>
      <w:r>
        <w:t xml:space="preserve">Note that ROA is decomposed into these two components: net profit margin and</w:t>
      </w:r>
      <w:r>
        <w:t xml:space="preserve"> </w:t>
      </w:r>
      <w:r>
        <w:t xml:space="preserve">total asset turnover. A company’s ROA is a function of profitability (net</w:t>
      </w:r>
      <w:r>
        <w:t xml:space="preserve"> </w:t>
      </w:r>
      <w:r>
        <w:t xml:space="preserve">profit margin) and efficiency (total asset turnover).</w:t>
      </w:r>
      <w:r>
        <w:br/>
      </w:r>
    </w:p>
    <w:p>
      <w:pPr>
        <w:pStyle w:val="Compact"/>
        <w:numPr>
          <w:ilvl w:val="0"/>
          <w:numId w:val="1030"/>
        </w:numPr>
      </w:pPr>
      <w:r>
        <w:t xml:space="preserve">The third term on the right-hand side of the equation is a measure of</w:t>
      </w:r>
      <w:r>
        <w:t xml:space="preserve"> </w:t>
      </w:r>
      <w:r>
        <w:t xml:space="preserve">financial leverage, an indicator of solvency: the total amount of a company’s</w:t>
      </w:r>
      <w:r>
        <w:t xml:space="preserve"> </w:t>
      </w:r>
      <w:r>
        <w:t xml:space="preserve">assets relative to its equity capital.</w:t>
      </w:r>
    </w:p>
    <w:p>
      <w:pPr>
        <w:pStyle w:val="Compact"/>
        <w:numPr>
          <w:ilvl w:val="0"/>
          <w:numId w:val="1030"/>
        </w:numPr>
      </w:pPr>
      <w:r>
        <w:t xml:space="preserve">This decomposition illustrates that a company’s ROE is a function of its net</w:t>
      </w:r>
      <w:r>
        <w:t xml:space="preserve"> </w:t>
      </w:r>
      <w:r>
        <w:t xml:space="preserve">profit margin, its efficiency, and its leverage.</w:t>
      </w:r>
    </w:p>
    <w:p>
      <w:r>
        <w:pict>
          <v:rect style="width:0;height:1.5pt" o:hralign="center" o:hrstd="t" o:hr="t"/>
        </w:pict>
      </w:r>
    </w:p>
    <w:bookmarkEnd w:id="59"/>
    <w:bookmarkStart w:id="60" w:name="expressing-roe---five-way-decomposition"/>
    <w:p>
      <w:pPr>
        <w:pStyle w:val="Heading3"/>
      </w:pPr>
      <w:r>
        <w:t xml:space="preserve">Expressing ROE - five-way decomposition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Net income</m:t>
                    </m:r>
                  </m:num>
                  <m:den>
                    <m:r>
                      <m:rPr>
                        <m:nor/>
                        <m:sty m:val="p"/>
                      </m:rPr>
                      <m:t>Average Shareholders’ Equity</m:t>
                    </m:r>
                  </m:den>
                </m:f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Net Income</m:t>
                    </m:r>
                  </m:num>
                  <m:den>
                    <m:r>
                      <m:rPr>
                        <m:nor/>
                        <m:sty m:val="p"/>
                      </m:rPr>
                      <m:t>EBT</m:t>
                    </m:r>
                  </m:den>
                </m:f>
                <m:r>
                  <m:rPr>
                    <m:sty m:val="p"/>
                  </m:rPr>
                  <m:t>×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EBT</m:t>
                    </m:r>
                  </m:num>
                  <m:den>
                    <m:r>
                      <m:rPr>
                        <m:nor/>
                        <m:sty m:val="p"/>
                      </m:rPr>
                      <m:t>EBIT</m:t>
                    </m:r>
                  </m:den>
                </m:f>
                <m:r>
                  <m:rPr>
                    <m:sty m:val="p"/>
                  </m:rPr>
                  <m:t>×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EBIT</m:t>
                    </m:r>
                  </m:num>
                  <m:den>
                    <m:r>
                      <m:rPr>
                        <m:nor/>
                        <m:sty m:val="p"/>
                      </m:rPr>
                      <m:t>Revenue</m:t>
                    </m:r>
                  </m:den>
                </m:f>
              </m:e>
            </m:mr>
            <m:mr>
              <m:e>
                <m:r>
                  <m:rPr>
                    <m:sty m:val="p"/>
                  </m:rPr>
                  <m:t>×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Revenue</m:t>
                    </m:r>
                  </m:num>
                  <m:den>
                    <m:r>
                      <m:rPr>
                        <m:nor/>
                        <m:sty m:val="p"/>
                      </m:rPr>
                      <m:t>Average Total Assets</m:t>
                    </m:r>
                  </m:den>
                </m:f>
              </m:e>
              <m:e>
                <m:r>
                  <m:t> </m:t>
                </m:r>
                <m:r>
                  <m:rPr>
                    <m:sty m:val="p"/>
                  </m:rPr>
                  <m:t>×</m:t>
                </m:r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Average Total Assets</m:t>
                    </m:r>
                  </m:num>
                  <m:den>
                    <m:r>
                      <m:rPr>
                        <m:nor/>
                        <m:sty m:val="p"/>
                      </m:rPr>
                      <m:t>Average Shareholders’ Equity</m:t>
                    </m:r>
                  </m:den>
                </m:f>
              </m:e>
            </m:mr>
          </m:m>
        </m:oMath>
      </m:oMathPara>
    </w:p>
    <w:p>
      <w:pPr>
        <w:pStyle w:val="FirstParagraph"/>
      </w:pPr>
      <w:r>
        <w:t xml:space="preserve">which can be interpreted as follows:</w:t>
      </w:r>
    </w:p>
    <w:p>
      <w:pPr>
        <w:pStyle w:val="BodyText"/>
      </w:pPr>
      <w:r>
        <w:t xml:space="preserve">ROE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 </w:t>
      </w:r>
      <w:r>
        <w:t xml:space="preserve">Tax burden</w:t>
      </w:r>
      <w:r>
        <w:t xml:space="preserve"> </w:t>
      </w:r>
      <m:oMath>
        <m:r>
          <m:rPr>
            <m:sty m:val="p"/>
          </m:rPr>
          <m:t>×</m:t>
        </m:r>
      </m:oMath>
      <w:r>
        <w:t xml:space="preserve"> </w:t>
      </w:r>
      <w:r>
        <w:t xml:space="preserve">Interest burden</w:t>
      </w:r>
      <w:r>
        <w:t xml:space="preserve"> </w:t>
      </w:r>
      <m:oMath>
        <m:r>
          <m:rPr>
            <m:sty m:val="p"/>
          </m:rPr>
          <m:t>×</m:t>
        </m:r>
      </m:oMath>
      <w:r>
        <w:t xml:space="preserve"> </w:t>
      </w:r>
      <w:r>
        <w:t xml:space="preserve">EBIT margin</w:t>
      </w:r>
      <w:r>
        <w:t xml:space="preserve"> </w:t>
      </w:r>
      <m:oMath>
        <m:r>
          <m:rPr>
            <m:sty m:val="p"/>
          </m:rPr>
          <m:t>×</m:t>
        </m:r>
      </m:oMath>
      <w:r>
        <w:t xml:space="preserve"> </w:t>
      </w:r>
      <w:r>
        <w:t xml:space="preserve">Total asset turnover</w:t>
      </w:r>
      <w:r>
        <w:t xml:space="preserve"> </w:t>
      </w:r>
      <m:oMath>
        <m:r>
          <m:rPr>
            <m:sty m:val="p"/>
          </m:rPr>
          <m:t>×</m:t>
        </m:r>
      </m:oMath>
      <w:r>
        <w:t xml:space="preserve"> </w:t>
      </w:r>
      <w:r>
        <w:t xml:space="preserve">Leverage</w:t>
      </w:r>
    </w:p>
    <w:p>
      <w:pPr>
        <w:pStyle w:val="Compact"/>
        <w:numPr>
          <w:ilvl w:val="0"/>
          <w:numId w:val="1031"/>
        </w:numPr>
      </w:pPr>
      <w:r>
        <w:t xml:space="preserve">This five-way decomposition is the one found in financial databases such as</w:t>
      </w:r>
      <w:r>
        <w:t xml:space="preserve"> </w:t>
      </w:r>
      <w:r>
        <w:t xml:space="preserve">Bloomberg.</w:t>
      </w:r>
      <w:r>
        <w:br/>
      </w:r>
    </w:p>
    <w:p>
      <w:pPr>
        <w:pStyle w:val="Compact"/>
        <w:numPr>
          <w:ilvl w:val="0"/>
          <w:numId w:val="1031"/>
        </w:numPr>
      </w:pPr>
      <w:r>
        <w:t xml:space="preserve">The first term on the right-hand side of this equation measures the effect</w:t>
      </w:r>
      <w:r>
        <w:t xml:space="preserve"> </w:t>
      </w:r>
      <w:r>
        <w:t xml:space="preserve">of taxes on ROE. Essentially, it reflects one minus the average tax rate, or</w:t>
      </w:r>
      <w:r>
        <w:t xml:space="preserve"> </w:t>
      </w:r>
      <w:r>
        <w:t xml:space="preserve">how much of a company’s pretax profits it gets to keep. This can be expressed</w:t>
      </w:r>
      <w:r>
        <w:t xml:space="preserve"> </w:t>
      </w:r>
      <w:r>
        <w:t xml:space="preserve">in decimal or percentage form. So, a 30 percent tax rate would yield a factor</w:t>
      </w:r>
      <w:r>
        <w:t xml:space="preserve"> </w:t>
      </w:r>
      <w:r>
        <w:t xml:space="preserve">of 0.70 or 70 percent. A higher value for the tax burden implies that the</w:t>
      </w:r>
      <w:r>
        <w:t xml:space="preserve"> </w:t>
      </w:r>
      <w:r>
        <w:t xml:space="preserve">company can keep a higher percentage of its pretax profits, indicating a</w:t>
      </w:r>
      <w:r>
        <w:t xml:space="preserve"> </w:t>
      </w:r>
      <w:r>
        <w:t xml:space="preserve">lower tax rate. A decrease in the tax burden ratio implies the opposite</w:t>
      </w:r>
      <w:r>
        <w:t xml:space="preserve"> </w:t>
      </w:r>
      <w:r>
        <w:t xml:space="preserve">(i.e., a higher tax rate leaving the company with less of its pretax</w:t>
      </w:r>
      <w:r>
        <w:t xml:space="preserve"> </w:t>
      </w:r>
      <w:r>
        <w:t xml:space="preserve">profits).</w:t>
      </w:r>
      <w:r>
        <w:br/>
      </w:r>
    </w:p>
    <w:p>
      <w:pPr>
        <w:pStyle w:val="Compact"/>
        <w:numPr>
          <w:ilvl w:val="0"/>
          <w:numId w:val="1031"/>
        </w:numPr>
      </w:pPr>
      <w:r>
        <w:t xml:space="preserve">The second term on the right-hand side captures the effect of interest on</w:t>
      </w:r>
      <w:r>
        <w:t xml:space="preserve"> </w:t>
      </w:r>
      <w:r>
        <w:t xml:space="preserve">ROE. Higher borrowing costs reduce ROE. Some analysts prefer to use operating</w:t>
      </w:r>
      <w:r>
        <w:t xml:space="preserve"> </w:t>
      </w:r>
      <w:r>
        <w:t xml:space="preserve">income instead of EBIT for this term and the following term. Either operating</w:t>
      </w:r>
      <w:r>
        <w:t xml:space="preserve"> </w:t>
      </w:r>
      <w:r>
        <w:t xml:space="preserve">income or EBIT is acceptable as long as it is applied consistently. In such a</w:t>
      </w:r>
      <w:r>
        <w:t xml:space="preserve"> </w:t>
      </w:r>
      <w:r>
        <w:t xml:space="preserve">case, the second term would measure both the effect of interest expense and</w:t>
      </w:r>
      <w:r>
        <w:t xml:space="preserve"> </w:t>
      </w:r>
      <w:r>
        <w:t xml:space="preserve">non-operating income on ROE.</w:t>
      </w:r>
      <w:r>
        <w:br/>
      </w:r>
    </w:p>
    <w:p>
      <w:pPr>
        <w:pStyle w:val="Compact"/>
        <w:numPr>
          <w:ilvl w:val="0"/>
          <w:numId w:val="1031"/>
        </w:numPr>
      </w:pPr>
      <w:r>
        <w:t xml:space="preserve">The third term on the right-hand side captures the effect of operating margin</w:t>
      </w:r>
      <w:r>
        <w:t xml:space="preserve"> </w:t>
      </w:r>
      <w:r>
        <w:t xml:space="preserve">(if operating income is used in the numerator) or EBIT margin (if EBIT is</w:t>
      </w:r>
      <w:r>
        <w:t xml:space="preserve"> </w:t>
      </w:r>
      <w:r>
        <w:t xml:space="preserve">used) on ROE. In either case, this term primarily measures the effect of</w:t>
      </w:r>
      <w:r>
        <w:t xml:space="preserve"> </w:t>
      </w:r>
      <w:r>
        <w:t xml:space="preserve">operating profitability on ROE.</w:t>
      </w:r>
      <w:r>
        <w:br/>
      </w:r>
    </w:p>
    <w:p>
      <w:pPr>
        <w:pStyle w:val="Compact"/>
        <w:numPr>
          <w:ilvl w:val="0"/>
          <w:numId w:val="1031"/>
        </w:numPr>
      </w:pPr>
      <w:r>
        <w:t xml:space="preserve">The fourth term on the right-hand side is again the total asset turnover</w:t>
      </w:r>
      <w:r>
        <w:t xml:space="preserve"> </w:t>
      </w:r>
      <w:r>
        <w:t xml:space="preserve">ratio, an indicator of the overall efficiency of the company (i.e., how much</w:t>
      </w:r>
      <w:r>
        <w:t xml:space="preserve"> </w:t>
      </w:r>
      <w:r>
        <w:t xml:space="preserve">revenue it generates per unit of total assets).</w:t>
      </w:r>
    </w:p>
    <w:p>
      <w:pPr>
        <w:pStyle w:val="Compact"/>
        <w:numPr>
          <w:ilvl w:val="0"/>
          <w:numId w:val="1031"/>
        </w:numPr>
      </w:pPr>
      <w:r>
        <w:t xml:space="preserve">The fifth term on the right-hand side is the financial leverage ratio</w:t>
      </w:r>
      <w:r>
        <w:t xml:space="preserve"> </w:t>
      </w:r>
      <w:r>
        <w:t xml:space="preserve">described above—the total amount of a company’s assets relative to its equity</w:t>
      </w:r>
      <w:r>
        <w:t xml:space="preserve"> </w:t>
      </w:r>
      <w:r>
        <w:t xml:space="preserve">capital.</w:t>
      </w:r>
    </w:p>
    <w:p>
      <w:pPr>
        <w:pStyle w:val="Compact"/>
        <w:numPr>
          <w:ilvl w:val="0"/>
          <w:numId w:val="1031"/>
        </w:numPr>
      </w:pPr>
      <w:r>
        <w:t xml:space="preserve">This decomposition expresses a company’s ROE as a function of its tax rate,</w:t>
      </w:r>
      <w:r>
        <w:t xml:space="preserve"> </w:t>
      </w:r>
      <w:r>
        <w:t xml:space="preserve">interest burden, operating profitability, efficiency, and leverage. An</w:t>
      </w:r>
      <w:r>
        <w:t xml:space="preserve"> </w:t>
      </w:r>
      <w:r>
        <w:t xml:space="preserve">analyst can use this framework to determine what factors are driving a</w:t>
      </w:r>
      <w:r>
        <w:t xml:space="preserve"> </w:t>
      </w:r>
      <w:r>
        <w:t xml:space="preserve">company’s ROE. The decomposition of ROE can also be useful in forecasting ROE</w:t>
      </w:r>
      <w:r>
        <w:t xml:space="preserve"> </w:t>
      </w:r>
      <w:r>
        <w:t xml:space="preserve">based upon expected efficiency, profitability, financing activities, and tax</w:t>
      </w:r>
      <w:r>
        <w:t xml:space="preserve"> </w:t>
      </w:r>
      <w:r>
        <w:t xml:space="preserve">rates. The relationship of the individual factors, such as ROA to the overall</w:t>
      </w:r>
      <w:r>
        <w:t xml:space="preserve"> </w:t>
      </w:r>
      <w:r>
        <w:t xml:space="preserve">ROE, can also be expressed in the form of an ROE tree to study the</w:t>
      </w:r>
      <w:r>
        <w:t xml:space="preserve"> </w:t>
      </w:r>
      <w:r>
        <w:t xml:space="preserve">contribution of each of the five factors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8" w:name="industry-specific-financial-ratios"/>
    <w:p>
      <w:pPr>
        <w:pStyle w:val="Heading2"/>
      </w:pPr>
      <w:r>
        <w:t xml:space="preserve">INDUSTRY-SPECIFIC FINANCIAL RATIOS</w:t>
      </w:r>
    </w:p>
    <w:p>
      <w:pPr>
        <w:pStyle w:val="FirstParagraph"/>
      </w:pPr>
      <w:r>
        <w:t xml:space="preserve">As stated in this module, a universally accepted definition and classification</w:t>
      </w:r>
      <w:r>
        <w:t xml:space="preserve"> </w:t>
      </w:r>
      <w:r>
        <w:t xml:space="preserve">of ratios does not exist. The purpose of ratios is to serve as indicators of</w:t>
      </w:r>
      <w:r>
        <w:t xml:space="preserve"> </w:t>
      </w:r>
      <w:r>
        <w:t xml:space="preserve">important aspects of a company’s performance and value. Aspects of performance</w:t>
      </w:r>
      <w:r>
        <w:t xml:space="preserve"> </w:t>
      </w:r>
      <w:r>
        <w:t xml:space="preserve">that are considered important in one industry may be irrelevant in another, and</w:t>
      </w:r>
      <w:r>
        <w:t xml:space="preserve"> </w:t>
      </w:r>
      <w:r>
        <w:t xml:space="preserve">industry-specific ratios reflect these differences. For example, companies in</w:t>
      </w:r>
      <w:r>
        <w:t xml:space="preserve"> </w:t>
      </w:r>
      <w:r>
        <w:t xml:space="preserve">the retail industry may report same-store sales changes because, in the retail</w:t>
      </w:r>
      <w:r>
        <w:t xml:space="preserve"> </w:t>
      </w:r>
      <w:r>
        <w:t xml:space="preserve">industry, it is important to distinguish between growth that results from</w:t>
      </w:r>
      <w:r>
        <w:t xml:space="preserve"> </w:t>
      </w:r>
      <w:r>
        <w:t xml:space="preserve">opening new stores and growth that results from generating more sales at</w:t>
      </w:r>
      <w:r>
        <w:t xml:space="preserve"> </w:t>
      </w:r>
      <w:r>
        <w:t xml:space="preserve">existing stores. Industry-specific metrics can be especially important to the</w:t>
      </w:r>
      <w:r>
        <w:t xml:space="preserve"> </w:t>
      </w:r>
      <w:r>
        <w:t xml:space="preserve">value of equity in early-stage industries, where companies are not yet</w:t>
      </w:r>
      <w:r>
        <w:t xml:space="preserve"> </w:t>
      </w:r>
      <w:r>
        <w:t xml:space="preserve">profitable.</w:t>
      </w:r>
      <w:r>
        <w:br/>
      </w:r>
      <w:r>
        <w:t xml:space="preserve">In addition, regulated industries-especially in the financial sector-often are</w:t>
      </w:r>
      <w:r>
        <w:t xml:space="preserve"> </w:t>
      </w:r>
      <w:r>
        <w:t xml:space="preserve">required to comply with specific regulatory ratios. For example, the banking</w:t>
      </w:r>
      <w:r>
        <w:t xml:space="preserve"> </w:t>
      </w:r>
      <w:r>
        <w:t xml:space="preserve">sector’s liquidity and cash reserve ratios provide an indication of banking</w:t>
      </w:r>
      <w:r>
        <w:t xml:space="preserve"> </w:t>
      </w:r>
      <w:r>
        <w:t xml:space="preserve">liquidity and reflect monetary and regulatory requirements. Banking capital</w:t>
      </w:r>
      <w:r>
        <w:t xml:space="preserve"> </w:t>
      </w:r>
      <w:r>
        <w:t xml:space="preserve">adequacy requirements attempt to relate banks’ solvency requirements directly</w:t>
      </w:r>
      <w:r>
        <w:t xml:space="preserve"> </w:t>
      </w:r>
      <w:r>
        <w:t xml:space="preserve">to their specific levels of risk exposure.</w:t>
      </w:r>
    </w:p>
    <w:p>
      <w:r>
        <w:pict>
          <v:rect style="width:0;height:1.5pt" o:hralign="center" o:hrstd="t" o:hr="t"/>
        </w:pict>
      </w:r>
    </w:p>
    <w:bookmarkStart w:id="62" w:name="business-risk"/>
    <w:p>
      <w:pPr>
        <w:pStyle w:val="Heading3"/>
      </w:pPr>
      <w:r>
        <w:t xml:space="preserve">Business Risk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Coefficient of Variation </m:t>
                </m:r>
              </m:e>
            </m:mr>
            <m:mr>
              <m:e>
                <m:r>
                  <m:rPr>
                    <m:nor/>
                    <m:sty m:val="p"/>
                  </m:rPr>
                  <m:t>of Operating Income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Standard Deviation of Operating Income</m:t>
              </m:r>
            </m:num>
            <m:den>
              <m:r>
                <m:rPr>
                  <m:nor/>
                  <m:sty m:val="p"/>
                </m:rPr>
                <m:t>Average Operating Income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Coefficient of Variation</m:t>
                </m:r>
              </m:e>
            </m:mr>
            <m:mr>
              <m:e>
                <m:r>
                  <m:rPr>
                    <m:nor/>
                    <m:sty m:val="p"/>
                  </m:rPr>
                  <m:t>of Net Income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Standard Deviation of Net Income</m:t>
              </m:r>
            </m:num>
            <m:den>
              <m:r>
                <m:rPr>
                  <m:nor/>
                  <m:sty m:val="p"/>
                </m:rPr>
                <m:t>Average Net Income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Coefficient of Variation</m:t>
                </m:r>
              </m:e>
            </m:mr>
            <m:mr>
              <m:e>
                <m:r>
                  <m:rPr>
                    <m:nor/>
                    <m:sty m:val="p"/>
                  </m:rPr>
                  <m:t>of Revenues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Standard Deviation of Revenue</m:t>
              </m:r>
            </m:num>
            <m:den>
              <m:r>
                <m:rPr>
                  <m:nor/>
                  <m:sty m:val="p"/>
                </m:rPr>
                <m:t>Average Revenue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62"/>
    <w:bookmarkStart w:id="63" w:name="financial-sector-ratios"/>
    <w:p>
      <w:pPr>
        <w:pStyle w:val="Heading3"/>
      </w:pPr>
      <w:r>
        <w:t xml:space="preserve">Financial Sector Ratios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Capital Adequacy (Banks)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Various Components of Capital</m:t>
              </m:r>
            </m:num>
            <m:den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nor/>
                        <m:sty m:val="p"/>
                      </m:rPr>
                      <m:t>Various measures such as risk-weighted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assets, market risk exposure, or level of 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operational risk assumed</m:t>
                    </m:r>
                  </m:e>
                </m:mr>
              </m:m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Monetary Reserve Requirement</m:t>
                </m:r>
              </m:e>
            </m:mr>
            <m:mr>
              <m:e>
                <m:r>
                  <m:rPr>
                    <m:nor/>
                    <m:sty m:val="p"/>
                  </m:rPr>
                  <m:t>(Cash Reserve Ratio)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Reserves Held at Central Bank</m:t>
              </m:r>
            </m:num>
            <m:den>
              <m:r>
                <m:rPr>
                  <m:nor/>
                  <m:sty m:val="p"/>
                </m:rPr>
                <m:t>Specified Deposit Liabilities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Liquid Asset</m:t>
                </m:r>
              </m:e>
            </m:mr>
            <m:mr>
              <m:e>
                <m:r>
                  <m:rPr>
                    <m:nor/>
                    <m:sty m:val="p"/>
                  </m:rPr>
                  <m:t>Requirement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Approved "readily marketable" Securities</m:t>
              </m:r>
            </m:num>
            <m:den>
              <m:r>
                <m:rPr>
                  <m:nor/>
                  <m:sty m:val="p"/>
                </m:rPr>
                <m:t>Specified Deposit Liabilities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Net Interest Margin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Interest Income</m:t>
              </m:r>
            </m:num>
            <m:den>
              <m:r>
                <m:rPr>
                  <m:nor/>
                  <m:sty m:val="p"/>
                </m:rPr>
                <m:t>Total Interest-Earning Assets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63"/>
    <w:bookmarkStart w:id="64" w:name="ratail-ratios"/>
    <w:p>
      <w:pPr>
        <w:pStyle w:val="Heading3"/>
      </w:pPr>
      <w:r>
        <w:t xml:space="preserve">Ratail Ratios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Same ( or comparable)</m:t>
                </m:r>
              </m:e>
            </m:mr>
            <m:mr>
              <m:e>
                <m:r>
                  <m:rPr>
                    <m:nor/>
                    <m:sty m:val="p"/>
                  </m:rPr>
                  <m:t>store sales</m:t>
                </m:r>
              </m:e>
            </m:mr>
          </m:m>
          <m:r>
            <m:rPr>
              <m:sty m:val="p"/>
            </m:rPr>
            <m:t>=</m:t>
          </m:r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Average Revenue Growth Year over Year</m:t>
                </m:r>
              </m:e>
            </m:mr>
            <m:mr>
              <m:e>
                <m:r>
                  <m:rPr>
                    <m:nor/>
                    <m:sty m:val="p"/>
                  </m:rPr>
                  <m:t> for Stores Open in Both Periods</m:t>
                </m:r>
              </m:e>
            </m:mr>
          </m:m>
        </m:oMath>
      </m:oMathPara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Sales per square meter</m:t>
                </m:r>
              </m:e>
            </m:mr>
            <m:mr>
              <m:e>
                <m:r>
                  <m:rPr>
                    <m:nor/>
                    <m:sty m:val="p"/>
                  </m:rPr>
                  <m:t>(or square foot)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nor/>
                        <m:sty m:val="p"/>
                      </m:rPr>
                      <m:t>Total Retail Space in Square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Meters (or Square Feet)</m:t>
                    </m:r>
                  </m:e>
                </m:mr>
              </m:m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64"/>
    <w:bookmarkStart w:id="65" w:name="service-companies"/>
    <w:p>
      <w:pPr>
        <w:pStyle w:val="Heading3"/>
      </w:pPr>
      <w:r>
        <w:t xml:space="preserve">Service Companies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Revenue per Employee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r>
                <m:rPr>
                  <m:nor/>
                  <m:sty m:val="p"/>
                </m:rPr>
                <m:t>Total Number of Employees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Net Income per Employee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Net Income</m:t>
              </m:r>
            </m:num>
            <m:den>
              <m:r>
                <m:rPr>
                  <m:nor/>
                  <m:sty m:val="p"/>
                </m:rPr>
                <m:t>Total Number of Employees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65"/>
    <w:bookmarkStart w:id="66" w:name="hotel"/>
    <w:p>
      <w:pPr>
        <w:pStyle w:val="Heading3"/>
      </w:pPr>
      <w:r>
        <w:t xml:space="preserve">Hotel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Average Daily Rate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Room Revenue</m:t>
              </m:r>
            </m:num>
            <m:den>
              <m:r>
                <m:rPr>
                  <m:nor/>
                  <m:sty m:val="p"/>
                </m:rPr>
                <m:t>Number of Rooms Sold</m:t>
              </m:r>
            </m:den>
          </m:f>
        </m:oMath>
      </m:oMathPara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Occupancy Rate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Number of Rooms Sold</m:t>
              </m:r>
            </m:num>
            <m:den>
              <m:r>
                <m:rPr>
                  <m:nor/>
                  <m:sty m:val="p"/>
                </m:rPr>
                <m:t>Number of Rooms Available</m:t>
              </m:r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66"/>
    <w:bookmarkStart w:id="67" w:name="X003a01675d8ccd0306a86f85e77c0544f2cfa43"/>
    <w:p>
      <w:pPr>
        <w:pStyle w:val="Heading3"/>
      </w:pPr>
      <w:r>
        <w:t xml:space="preserve">Subscription or Relationship-Based Businesses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Average Revenue per</m:t>
                </m:r>
              </m:e>
            </m:mr>
            <m:mr>
              <m:e>
                <m:r>
                  <m:rPr>
                    <m:nor/>
                    <m:sty m:val="p"/>
                  </m:rPr>
                  <m:t>User (ARPU)</m:t>
                </m:r>
              </m:e>
            </m:mr>
          </m:m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Revenue</m:t>
              </m:r>
            </m:num>
            <m:den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rPr>
                        <m:nor/>
                        <m:sty m:val="p"/>
                      </m:rPr>
                      <m:t>Average Number of</m:t>
                    </m:r>
                  </m:e>
                </m:mr>
                <m:mr>
                  <m:e>
                    <m:r>
                      <m:rPr>
                        <m:nor/>
                        <m:sty m:val="p"/>
                      </m:rPr>
                      <m:t>Subscribers or Users</m:t>
                    </m:r>
                  </m:e>
                </m:mr>
              </m:m>
            </m:den>
          </m:f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Note: Many other industry-specific ratios are outside the scope of this module.</w:t>
      </w:r>
      <w:r>
        <w:t xml:space="preserve"> </w:t>
      </w:r>
      <w:r>
        <w:t xml:space="preserve">Resources such as Standard and Poor’s Industry Surveys present useful ratios</w:t>
      </w:r>
      <w:r>
        <w:t xml:space="preserve"> </w:t>
      </w:r>
      <w:r>
        <w:t xml:space="preserve">for each industry. Industry organizations may present useful ratios for the</w:t>
      </w:r>
      <w:r>
        <w:t xml:space="preserve"> </w:t>
      </w:r>
      <w:r>
        <w:t xml:space="preserve">industry or a task specific to the industry.</w:t>
      </w:r>
    </w:p>
    <w:p>
      <w:r>
        <w:pict>
          <v:rect style="width:0;height:1.5pt" o:hralign="center" o:hrstd="t" o:hr="t"/>
        </w:pict>
      </w:r>
    </w:p>
    <w:bookmarkEnd w:id="67"/>
    <w:bookmarkEnd w:id="6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11: Financial Analysis Techniques</dc:title>
  <dc:creator/>
  <cp:keywords/>
  <dcterms:created xsi:type="dcterms:W3CDTF">2026-03-12T21:47:34Z</dcterms:created>
  <dcterms:modified xsi:type="dcterms:W3CDTF">2026-03-12T21:47:34Z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FINANCIAL STATEMENT ANALYSIS</vt:lpwstr>
  </property>
  <property fmtid="{D5CDD505-2E9C-101B-9397-08002B2CF9AE}" pid="8" name="toc-title">
    <vt:lpwstr>Table of contents</vt:lpwstr>
  </property>
</Properties>
</file>